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4FDA2" w14:textId="6F0448E6" w:rsidR="00D07C27" w:rsidRPr="00D57B30" w:rsidRDefault="00D57B30" w:rsidP="008246F4">
      <w:pPr>
        <w:pStyle w:val="Ttulo1"/>
        <w:ind w:right="545"/>
        <w:rPr>
          <w:color w:val="1F4E79" w:themeColor="accent1" w:themeShade="80"/>
        </w:rPr>
      </w:pPr>
      <w:r>
        <w:rPr>
          <w:color w:val="1F4E79" w:themeColor="accent1" w:themeShade="80"/>
        </w:rPr>
        <w:t>Tema 11 del orden del día</w:t>
      </w:r>
      <w:proofErr w:type="gramStart"/>
      <w:r>
        <w:rPr>
          <w:color w:val="1F4E79" w:themeColor="accent1" w:themeShade="80"/>
        </w:rPr>
        <w:t>:  Reunión</w:t>
      </w:r>
      <w:proofErr w:type="gramEnd"/>
      <w:r>
        <w:rPr>
          <w:color w:val="1F4E79" w:themeColor="accent1" w:themeShade="80"/>
        </w:rPr>
        <w:t xml:space="preserve"> con la Organización de Apoyo para Nombres Genéricos (GNSO) </w:t>
      </w:r>
    </w:p>
    <w:p w14:paraId="1202E295" w14:textId="77777777" w:rsidR="00F21D6A" w:rsidRPr="00D57B30" w:rsidRDefault="00D57B30" w:rsidP="00982B73">
      <w:pPr>
        <w:pStyle w:val="Ttulo2"/>
      </w:pPr>
      <w:r>
        <w:t>Cuestiones</w:t>
      </w:r>
    </w:p>
    <w:p w14:paraId="75465D53" w14:textId="62EDAA13" w:rsidR="002A35B2" w:rsidRDefault="001A7608" w:rsidP="00A13403">
      <w:pPr>
        <w:spacing w:after="200" w:line="276" w:lineRule="auto"/>
        <w:ind w:right="544"/>
        <w:contextualSpacing/>
        <w:jc w:val="both"/>
        <w:rPr>
          <w:sz w:val="20"/>
          <w:szCs w:val="20"/>
        </w:rPr>
      </w:pPr>
      <w:r>
        <w:rPr>
          <w:sz w:val="20"/>
          <w:szCs w:val="20"/>
        </w:rPr>
        <w:t>Los órdenes del día para las reuniones bilaterales del GAC de este tipo tienden a cambiar hasta el último minuto debido a varias razones. Sin embargo, probablemente se planteen las siguientes cuestiones:</w:t>
      </w:r>
    </w:p>
    <w:p w14:paraId="21A1636A" w14:textId="304F4C1F" w:rsidR="001A63D6" w:rsidRPr="007B5468" w:rsidRDefault="001A63D6" w:rsidP="007B5468">
      <w:pPr>
        <w:pStyle w:val="Prrafodelista"/>
        <w:numPr>
          <w:ilvl w:val="0"/>
          <w:numId w:val="5"/>
        </w:numPr>
        <w:spacing w:line="360" w:lineRule="auto"/>
        <w:ind w:right="544"/>
        <w:contextualSpacing/>
        <w:rPr>
          <w:szCs w:val="20"/>
        </w:rPr>
      </w:pPr>
      <w:r>
        <w:t>Introducción al rol de la GNSO y sus Procesos de Desarrollo de Políticas (PDP), incluidas posibles mejoras incrementales a la forma en que los PDP funcionan (“PDP 3.0”).</w:t>
      </w:r>
    </w:p>
    <w:p w14:paraId="27773071" w14:textId="664A7905" w:rsidR="002A35B2" w:rsidRDefault="001A63D6" w:rsidP="00A5021B">
      <w:pPr>
        <w:pStyle w:val="Prrafodelista"/>
        <w:numPr>
          <w:ilvl w:val="0"/>
          <w:numId w:val="5"/>
        </w:numPr>
        <w:spacing w:line="360" w:lineRule="auto"/>
        <w:ind w:right="544"/>
        <w:contextualSpacing/>
        <w:rPr>
          <w:szCs w:val="20"/>
        </w:rPr>
      </w:pPr>
      <w:r>
        <w:t>Próximos pasos respecto de la Especificación temporal de la ICANN para cumplimiento del GDPR.</w:t>
      </w:r>
    </w:p>
    <w:p w14:paraId="06688F3A" w14:textId="58ABE6DB" w:rsidR="002A35B2" w:rsidRDefault="00C14EF2" w:rsidP="00A5021B">
      <w:pPr>
        <w:pStyle w:val="Prrafodelista"/>
        <w:numPr>
          <w:ilvl w:val="0"/>
          <w:numId w:val="5"/>
        </w:numPr>
        <w:spacing w:line="360" w:lineRule="auto"/>
        <w:ind w:right="544"/>
        <w:contextualSpacing/>
        <w:rPr>
          <w:szCs w:val="20"/>
        </w:rPr>
      </w:pPr>
      <w:r>
        <w:t>PDP de la GNSO sobre Procedimientos posteriores a la introducción de nuevos gTLD: Progreso en las Áreas de Trabajo 1-4 y Área de Trabajo 5.</w:t>
      </w:r>
    </w:p>
    <w:p w14:paraId="7A2AE7FC" w14:textId="45BCFB71" w:rsidR="00C14EF2" w:rsidRDefault="00C14EF2" w:rsidP="00C14EF2">
      <w:pPr>
        <w:pStyle w:val="Ttulo2"/>
      </w:pPr>
      <w:r>
        <w:t>Acción del GAC requerida</w:t>
      </w:r>
    </w:p>
    <w:p w14:paraId="68CBC247" w14:textId="77777777" w:rsidR="007B5468" w:rsidRPr="007B5468" w:rsidRDefault="001A63D6" w:rsidP="001A63D6">
      <w:pPr>
        <w:pStyle w:val="Prrafodelista"/>
        <w:numPr>
          <w:ilvl w:val="0"/>
          <w:numId w:val="6"/>
        </w:numPr>
        <w:spacing w:line="360" w:lineRule="auto"/>
        <w:ind w:right="544"/>
        <w:contextualSpacing/>
        <w:rPr>
          <w:b/>
          <w:color w:val="2E74B5" w:themeColor="accent1" w:themeShade="BF"/>
          <w:szCs w:val="20"/>
        </w:rPr>
      </w:pPr>
      <w:r>
        <w:rPr>
          <w:b/>
          <w:color w:val="2E74B5" w:themeColor="accent1" w:themeShade="BF"/>
          <w:szCs w:val="20"/>
        </w:rPr>
        <w:t>Introducción al rol de la GNSO y sus PDP</w:t>
      </w:r>
    </w:p>
    <w:p w14:paraId="5AD9238C" w14:textId="7828F646" w:rsidR="001A63D6" w:rsidRDefault="001A63D6" w:rsidP="007B5468">
      <w:pPr>
        <w:spacing w:line="360" w:lineRule="auto"/>
        <w:ind w:right="544"/>
        <w:contextualSpacing/>
        <w:rPr>
          <w:sz w:val="20"/>
          <w:szCs w:val="20"/>
        </w:rPr>
      </w:pPr>
      <w:r>
        <w:rPr>
          <w:sz w:val="20"/>
          <w:szCs w:val="20"/>
        </w:rPr>
        <w:t>Los miembros del GAC, en especial aquellos menos experimentados en el modelo de múltiples partes interesadas de la ICANN, pueden desean anotar la información sobre su rol que proporciona la GNSO y desear aclaraciones y más debate según sea necesario.</w:t>
      </w:r>
    </w:p>
    <w:p w14:paraId="0BD52C20" w14:textId="77777777" w:rsidR="007B5468" w:rsidRDefault="007B5468" w:rsidP="007B5468">
      <w:pPr>
        <w:pStyle w:val="Textoindependiente"/>
      </w:pPr>
      <w:r>
        <w:t>Recientemente se ha informado al GAC (Anexo A) sobre un documento para debate interno “PDP 3.0” destinado a mejorar la eficiencia y la eficacia de los Grupos de Trabajo para PDP de la GNSO. . El coordinador de enlace de la GNSO con el GAC ha confirmado que serían bien recibi</w:t>
      </w:r>
      <w:bookmarkStart w:id="0" w:name="_GoBack"/>
      <w:bookmarkEnd w:id="0"/>
      <w:r>
        <w:t>dos los comentarios del GAC al respecto.</w:t>
      </w:r>
    </w:p>
    <w:p w14:paraId="0C0A8A04" w14:textId="77777777" w:rsidR="007B5468" w:rsidRDefault="007B5468" w:rsidP="007B5468">
      <w:pPr>
        <w:pStyle w:val="Textoindependiente"/>
      </w:pPr>
      <w:r>
        <w:t>El GAC puede desear solicitar las opiniones de los miembros del Consejo de la GNSO sobre lo siguiente:</w:t>
      </w:r>
    </w:p>
    <w:p w14:paraId="0B5D6C63" w14:textId="77777777" w:rsidR="007B5468" w:rsidRDefault="007B5468" w:rsidP="007B5468">
      <w:pPr>
        <w:pStyle w:val="Prrafodelista"/>
        <w:widowControl w:val="0"/>
        <w:numPr>
          <w:ilvl w:val="0"/>
          <w:numId w:val="8"/>
        </w:numPr>
        <w:autoSpaceDE w:val="0"/>
        <w:autoSpaceDN w:val="0"/>
        <w:adjustRightInd w:val="0"/>
        <w:ind w:right="545"/>
        <w:rPr>
          <w:rFonts w:cs="Century Gothic"/>
          <w:szCs w:val="20"/>
        </w:rPr>
      </w:pPr>
      <w:r>
        <w:t xml:space="preserve">Dadas las interdependencias entre las tareas de la ICANN, sería útil que </w:t>
      </w:r>
      <w:proofErr w:type="gramStart"/>
      <w:r>
        <w:t>la</w:t>
      </w:r>
      <w:proofErr w:type="gramEnd"/>
      <w:r>
        <w:t xml:space="preserve"> discusiones de las cuestiones planteadas en el documento sean abiertas a todos los miembros de la comunidad.</w:t>
      </w:r>
    </w:p>
    <w:p w14:paraId="1A13B688" w14:textId="77777777" w:rsidR="007B5468" w:rsidRDefault="007B5468" w:rsidP="007B5468">
      <w:pPr>
        <w:pStyle w:val="Prrafodelista"/>
        <w:widowControl w:val="0"/>
        <w:numPr>
          <w:ilvl w:val="0"/>
          <w:numId w:val="8"/>
        </w:numPr>
        <w:autoSpaceDE w:val="0"/>
        <w:autoSpaceDN w:val="0"/>
        <w:adjustRightInd w:val="0"/>
        <w:ind w:right="545"/>
        <w:rPr>
          <w:rFonts w:cs="Century Gothic"/>
          <w:szCs w:val="20"/>
        </w:rPr>
      </w:pPr>
      <w:r>
        <w:t>La organización de los Grupos de Trabajo para PDP sobre el modelo del CCWG, con miembros designados de las SO/AC relevantes y otros que participan como individuos (Recomendación 2) fomentaría: (a) mejores niveles de responsabilidad, eficiencia y transparencia; (b) un perspectiva genuina de toda la comunidad respecto de los PDP; y (c) participación mejorada y más informada del GAC en los PDP.</w:t>
      </w:r>
    </w:p>
    <w:p w14:paraId="014E4B76" w14:textId="77777777" w:rsidR="007B5468" w:rsidRDefault="007B5468" w:rsidP="007B5468">
      <w:pPr>
        <w:pStyle w:val="Prrafodelista"/>
        <w:widowControl w:val="0"/>
        <w:numPr>
          <w:ilvl w:val="0"/>
          <w:numId w:val="9"/>
        </w:numPr>
        <w:autoSpaceDE w:val="0"/>
        <w:autoSpaceDN w:val="0"/>
        <w:adjustRightInd w:val="0"/>
        <w:ind w:right="545"/>
        <w:rPr>
          <w:rFonts w:cs="Century Gothic"/>
          <w:szCs w:val="20"/>
        </w:rPr>
      </w:pPr>
      <w:r>
        <w:t>De hecho, algunos miembros del GAC consideran que esta Recomendación es una condición previa para abordar muchos de los otros desafíos señalados (calidad de la discusión, generación de consenso) ya que permitiría a un grupo estimar el nivel de apoyo para posiciones particulares en la comunidad en general en oposición a aquellos que participan en una llamada.</w:t>
      </w:r>
    </w:p>
    <w:p w14:paraId="1AC2A376" w14:textId="6C2E154E" w:rsidR="007B5468" w:rsidRDefault="007B5468" w:rsidP="007B5468">
      <w:pPr>
        <w:pStyle w:val="Prrafodelista"/>
        <w:widowControl w:val="0"/>
        <w:numPr>
          <w:ilvl w:val="0"/>
          <w:numId w:val="8"/>
        </w:numPr>
        <w:autoSpaceDE w:val="0"/>
        <w:autoSpaceDN w:val="0"/>
        <w:adjustRightInd w:val="0"/>
        <w:ind w:right="545"/>
        <w:rPr>
          <w:rFonts w:cs="Century Gothic"/>
          <w:szCs w:val="20"/>
        </w:rPr>
      </w:pPr>
      <w:r>
        <w:lastRenderedPageBreak/>
        <w:t>Las medidas propuestas en el documento para obtener mejor capacitación y recursos para los líderes y participantes de los WG son útiles y razonables, y podrían continuar el muy buen respaldo que ya proporciona el personal de la GNSO.</w:t>
      </w:r>
    </w:p>
    <w:p w14:paraId="3EF4507D" w14:textId="35E4DF78" w:rsidR="007B5468" w:rsidRDefault="007B5468" w:rsidP="007B5468">
      <w:pPr>
        <w:widowControl w:val="0"/>
        <w:autoSpaceDE w:val="0"/>
        <w:autoSpaceDN w:val="0"/>
        <w:adjustRightInd w:val="0"/>
        <w:ind w:right="545"/>
        <w:rPr>
          <w:rFonts w:cs="Century Gothic"/>
          <w:szCs w:val="20"/>
          <w:lang w:eastAsia="en-AU"/>
        </w:rPr>
      </w:pPr>
    </w:p>
    <w:p w14:paraId="285DBEF5" w14:textId="2F7397F8" w:rsidR="007B5468" w:rsidRDefault="007B5468" w:rsidP="007B5468">
      <w:pPr>
        <w:widowControl w:val="0"/>
        <w:autoSpaceDE w:val="0"/>
        <w:autoSpaceDN w:val="0"/>
        <w:adjustRightInd w:val="0"/>
        <w:ind w:right="545"/>
        <w:rPr>
          <w:rFonts w:cs="Century Gothic"/>
          <w:szCs w:val="20"/>
          <w:lang w:eastAsia="en-AU"/>
        </w:rPr>
      </w:pPr>
    </w:p>
    <w:p w14:paraId="0099CC34" w14:textId="77777777" w:rsidR="007B5468" w:rsidRPr="007B5468" w:rsidRDefault="007B5468" w:rsidP="007B5468">
      <w:pPr>
        <w:widowControl w:val="0"/>
        <w:autoSpaceDE w:val="0"/>
        <w:autoSpaceDN w:val="0"/>
        <w:adjustRightInd w:val="0"/>
        <w:ind w:right="545"/>
        <w:rPr>
          <w:rFonts w:cs="Century Gothic"/>
          <w:szCs w:val="20"/>
          <w:lang w:eastAsia="en-AU"/>
        </w:rPr>
      </w:pPr>
    </w:p>
    <w:p w14:paraId="4B67EEEB" w14:textId="6A5341D9" w:rsidR="00C14EF2" w:rsidRPr="007B5468" w:rsidRDefault="001A63D6" w:rsidP="001A63D6">
      <w:pPr>
        <w:pStyle w:val="Prrafodelista"/>
        <w:numPr>
          <w:ilvl w:val="0"/>
          <w:numId w:val="6"/>
        </w:numPr>
        <w:spacing w:line="360" w:lineRule="auto"/>
        <w:ind w:right="544"/>
        <w:contextualSpacing/>
        <w:rPr>
          <w:b/>
          <w:color w:val="2E74B5" w:themeColor="accent1" w:themeShade="BF"/>
          <w:szCs w:val="20"/>
        </w:rPr>
      </w:pPr>
      <w:r>
        <w:rPr>
          <w:b/>
          <w:color w:val="2E74B5" w:themeColor="accent1" w:themeShade="BF"/>
          <w:szCs w:val="20"/>
        </w:rPr>
        <w:t>Próximos pasos respecto de la Especificación temporal de la ICANN para cumplimiento del GDPR.</w:t>
      </w:r>
    </w:p>
    <w:p w14:paraId="1CF693AB" w14:textId="15DA5D6D" w:rsidR="00E366DB" w:rsidRDefault="001A63D6" w:rsidP="00E366DB">
      <w:pPr>
        <w:pStyle w:val="Textoindependiente"/>
      </w:pPr>
      <w:r>
        <w:t xml:space="preserve">El Consejo de la GNSO está considerando opciones para brindar un marco de políticas a más largo plazo para las cuestiones incluidas en la </w:t>
      </w:r>
      <w:hyperlink r:id="rId9" w:history="1">
        <w:r>
          <w:rPr>
            <w:rStyle w:val="Hipervnculo"/>
          </w:rPr>
          <w:t>Especificación temporal para los datos de registración de gTLD</w:t>
        </w:r>
      </w:hyperlink>
      <w:r>
        <w:t xml:space="preserve"> de la ICANN. La opción más probable es un Proceso Expeditivo de Desarrollo de Políticas (EPDP). Este proceso es respaldado por la Junta de la ICANN como el proceso de políticas adecuado de conformidad con los Estatutos de la ICANN. Al momento de la preparación de este documento informativo, la GNSO no había iniciado formalmente el EPDP ni determinado si y cómo otras organizaciones de apoyo y comités asesores podrían participar.</w:t>
      </w:r>
    </w:p>
    <w:p w14:paraId="228B1A72" w14:textId="5AFB17C3" w:rsidR="005E361F" w:rsidRDefault="005736A1" w:rsidP="005E361F">
      <w:pPr>
        <w:pStyle w:val="Textoindependiente"/>
      </w:pPr>
      <w:r>
        <w:t>Esta información se actualizará más cerca de la fecha de la reunión, ya que está sujeta a discusiones continuas entre diversas partes.</w:t>
      </w:r>
    </w:p>
    <w:p w14:paraId="6E57DFC5" w14:textId="6022CBA8" w:rsidR="00C14EF2" w:rsidRPr="00984595" w:rsidRDefault="005736A1" w:rsidP="00A5021B">
      <w:pPr>
        <w:pStyle w:val="Textoindependiente"/>
        <w:numPr>
          <w:ilvl w:val="0"/>
          <w:numId w:val="6"/>
        </w:numPr>
        <w:rPr>
          <w:b/>
          <w:color w:val="2E74B5" w:themeColor="accent1" w:themeShade="BF"/>
        </w:rPr>
      </w:pPr>
      <w:r>
        <w:rPr>
          <w:b/>
          <w:color w:val="2E74B5" w:themeColor="accent1" w:themeShade="BF"/>
        </w:rPr>
        <w:t>PDP de la GNSO sobre Procedimientos posteriores a la introducción de nuevos gTLD: Progreso en las Áreas de Trabajo 1-4 y Área de Trabajo 5.</w:t>
      </w:r>
    </w:p>
    <w:p w14:paraId="3A35C85C" w14:textId="5C480061" w:rsidR="00593EF7" w:rsidRDefault="00593EF7" w:rsidP="00593EF7">
      <w:pPr>
        <w:pStyle w:val="Textoindependiente"/>
      </w:pPr>
      <w:r>
        <w:t>Véase el documento informativo independiente para el tema 6 del orden del día.</w:t>
      </w:r>
    </w:p>
    <w:p w14:paraId="1F417124" w14:textId="37AFFC41" w:rsidR="005E361F" w:rsidRDefault="005E361F" w:rsidP="005E361F">
      <w:pPr>
        <w:pStyle w:val="Textoindependiente"/>
      </w:pPr>
      <w:r>
        <w:t>El GAC puede desear preguntar a los miembros del Consejo de la GNSO:</w:t>
      </w:r>
    </w:p>
    <w:p w14:paraId="2C9E41F4" w14:textId="0A8D93D4" w:rsidR="005E361F" w:rsidRDefault="005E361F" w:rsidP="00A5021B">
      <w:pPr>
        <w:pStyle w:val="Textoindependiente"/>
        <w:numPr>
          <w:ilvl w:val="0"/>
          <w:numId w:val="7"/>
        </w:numPr>
      </w:pPr>
      <w:r>
        <w:t>¿Tienen una visión sobre algún vínculo entre los plazos para este PDP y el inicio de una ronda de nuevos gTLD por parte de la ICANN?</w:t>
      </w:r>
    </w:p>
    <w:p w14:paraId="1105D40B" w14:textId="12537CF7" w:rsidR="00593EF7" w:rsidRPr="00593EF7" w:rsidRDefault="005E361F" w:rsidP="00A5021B">
      <w:pPr>
        <w:pStyle w:val="Textoindependiente"/>
        <w:numPr>
          <w:ilvl w:val="0"/>
          <w:numId w:val="7"/>
        </w:numPr>
      </w:pPr>
      <w:r>
        <w:t>¿Podría considerarse que el Área de Trabajo 5 (Nombres geográficos) celebra sus sesiones de trabajo como sesiones intercomunitarias abiertas en esta reunión de la ICANN como una prueba de este formato para reuniones futuras?</w:t>
      </w:r>
    </w:p>
    <w:p w14:paraId="10D6AD3B" w14:textId="70DA2836" w:rsidR="00406CEE" w:rsidRPr="00984595" w:rsidRDefault="00C14EF2" w:rsidP="00982B73">
      <w:pPr>
        <w:pStyle w:val="Ttulo2"/>
        <w:rPr>
          <w:sz w:val="20"/>
          <w:szCs w:val="20"/>
        </w:rPr>
      </w:pPr>
      <w:r>
        <w:rPr>
          <w:sz w:val="20"/>
          <w:szCs w:val="20"/>
        </w:rPr>
        <w:t>Posición actual</w:t>
      </w:r>
    </w:p>
    <w:p w14:paraId="31452662" w14:textId="6DCB7F6F" w:rsidR="00982B73" w:rsidRDefault="00982B73" w:rsidP="00982B73">
      <w:pPr>
        <w:pStyle w:val="Textoindependiente"/>
        <w:ind w:right="545"/>
      </w:pPr>
      <w:r>
        <w:t xml:space="preserve">El GAC normalmente se reúne con el Presidente y otros miembros del Consejo de la </w:t>
      </w:r>
      <w:hyperlink r:id="rId10" w:history="1">
        <w:r>
          <w:rPr>
            <w:rStyle w:val="Hipervnculo"/>
          </w:rPr>
          <w:t>GNSO</w:t>
        </w:r>
      </w:hyperlink>
      <w:r>
        <w:t xml:space="preserve"> (Organización de Apoyo para Nombres Genéricos) en cada reunión de la ICANN para debatir asuntos de interés común e identificar métodos para lograr una mejor cooperación.  La Presidenta actual del Consejo de la GNSO es la Dra. </w:t>
      </w:r>
      <w:proofErr w:type="spellStart"/>
      <w:r>
        <w:t>Heather</w:t>
      </w:r>
      <w:proofErr w:type="spellEnd"/>
      <w:r>
        <w:t xml:space="preserve"> Forrest.  Los Vicepresidentes son la Sra. </w:t>
      </w:r>
      <w:proofErr w:type="spellStart"/>
      <w:r>
        <w:t>Donna</w:t>
      </w:r>
      <w:proofErr w:type="spellEnd"/>
      <w:r>
        <w:t xml:space="preserve"> Austin y el Sr. </w:t>
      </w:r>
      <w:proofErr w:type="spellStart"/>
      <w:r>
        <w:t>Rafik</w:t>
      </w:r>
      <w:proofErr w:type="spellEnd"/>
      <w:r>
        <w:t xml:space="preserve"> </w:t>
      </w:r>
      <w:proofErr w:type="spellStart"/>
      <w:r>
        <w:t>Dammak</w:t>
      </w:r>
      <w:proofErr w:type="spellEnd"/>
      <w:r>
        <w:t>.</w:t>
      </w:r>
    </w:p>
    <w:p w14:paraId="32E4BF3C" w14:textId="5903EC9E" w:rsidR="00A87101" w:rsidRDefault="00A87101" w:rsidP="00982B73">
      <w:pPr>
        <w:pStyle w:val="Textoindependiente"/>
        <w:ind w:right="545"/>
      </w:pPr>
      <w:r>
        <w:t>El coordinador de enlace de la GNSO con el GAC es el Sr. Johan (</w:t>
      </w:r>
      <w:proofErr w:type="spellStart"/>
      <w:r>
        <w:t>Julf</w:t>
      </w:r>
      <w:proofErr w:type="spellEnd"/>
      <w:r>
        <w:t xml:space="preserve">) </w:t>
      </w:r>
      <w:proofErr w:type="spellStart"/>
      <w:r>
        <w:t>Helsingius</w:t>
      </w:r>
      <w:proofErr w:type="spellEnd"/>
      <w:r>
        <w:t xml:space="preserve">. </w:t>
      </w:r>
    </w:p>
    <w:p w14:paraId="44DE4B61" w14:textId="77777777" w:rsidR="00982B73" w:rsidRDefault="00982B73" w:rsidP="00982B73">
      <w:pPr>
        <w:pStyle w:val="Textoindependiente"/>
        <w:ind w:right="545"/>
      </w:pPr>
      <w:r>
        <w:t>La GNSO es una de las Organizaciones de Apoyo más grandes dentro del marco de la ICANN.  Desarrolla y revisa políticas para los gTLD (por ejemplo, .</w:t>
      </w:r>
      <w:proofErr w:type="spellStart"/>
      <w:r>
        <w:t>com</w:t>
      </w:r>
      <w:proofErr w:type="spellEnd"/>
      <w:r>
        <w:t>, .</w:t>
      </w:r>
      <w:proofErr w:type="spellStart"/>
      <w:r>
        <w:t>org</w:t>
      </w:r>
      <w:proofErr w:type="spellEnd"/>
      <w:r>
        <w:t xml:space="preserve">, .hotel). Se puede obtener más información acerca de la GNSO y su proceso de desarrollo de políticas en </w:t>
      </w:r>
      <w:hyperlink r:id="rId11" w:history="1">
        <w:r>
          <w:rPr>
            <w:rStyle w:val="Hipervnculo"/>
          </w:rPr>
          <w:t>http://gnso.icann.org/en/about</w:t>
        </w:r>
      </w:hyperlink>
      <w:r>
        <w:t xml:space="preserve">. </w:t>
      </w:r>
    </w:p>
    <w:p w14:paraId="740A9242" w14:textId="5D3A8BE8" w:rsidR="00076811" w:rsidRPr="00A13403" w:rsidRDefault="00982B73" w:rsidP="00982B73">
      <w:pPr>
        <w:pStyle w:val="Textoindependiente"/>
        <w:ind w:right="545"/>
      </w:pPr>
      <w:r>
        <w:t xml:space="preserve">La GNSO es una "federación" de diferentes grupos de partes interesadas.  Consta de dos "Cámaras", una para las partes contratadas con la ICANN (Registros y Registradores) y otra </w:t>
      </w:r>
      <w:r>
        <w:lastRenderedPageBreak/>
        <w:t xml:space="preserve">para otras partes (Usuarios Comerciales y Empresariales, Propiedad Intelectual, Proveedores de Servicios de Internet y Partes Interesadas No Comerciales). </w:t>
      </w:r>
    </w:p>
    <w:p w14:paraId="04C07B0D" w14:textId="4C3CCD00" w:rsidR="00406CEE" w:rsidRDefault="00076811" w:rsidP="00982B73">
      <w:pPr>
        <w:pStyle w:val="Ttulo2"/>
      </w:pPr>
      <w:r>
        <w:t>Información adicional</w:t>
      </w:r>
    </w:p>
    <w:p w14:paraId="5499DB39" w14:textId="295F586C" w:rsidR="00076811" w:rsidRDefault="008202D8" w:rsidP="00AF4D4A">
      <w:pPr>
        <w:pStyle w:val="Textoindependiente"/>
        <w:ind w:right="544"/>
      </w:pPr>
      <w:hyperlink r:id="rId12" w:history="1">
        <w:r w:rsidR="00E120D2">
          <w:rPr>
            <w:rStyle w:val="Hipervnculo"/>
          </w:rPr>
          <w:t>Sitio web del GNSO</w:t>
        </w:r>
      </w:hyperlink>
    </w:p>
    <w:p w14:paraId="7A47C443" w14:textId="05D26D32" w:rsidR="00D65E34" w:rsidRDefault="008202D8" w:rsidP="00A87101">
      <w:pPr>
        <w:pStyle w:val="Textoindependiente"/>
        <w:ind w:right="544"/>
      </w:pPr>
      <w:hyperlink r:id="rId13" w:history="1">
        <w:r w:rsidR="00E120D2">
          <w:rPr>
            <w:rStyle w:val="Hipervnculo"/>
          </w:rPr>
          <w:t>Archivo público de correos electrónicos del Consejo de la GNSO</w:t>
        </w:r>
      </w:hyperlink>
    </w:p>
    <w:p w14:paraId="2125180A" w14:textId="77777777" w:rsidR="007B5468" w:rsidRDefault="007B5468" w:rsidP="00F85F5F">
      <w:pPr>
        <w:pStyle w:val="Ttulo2"/>
      </w:pPr>
      <w:bookmarkStart w:id="1" w:name="_Hlk484433727"/>
    </w:p>
    <w:p w14:paraId="1384AAB8" w14:textId="77777777" w:rsidR="007B5468" w:rsidRDefault="007B5468" w:rsidP="00F85F5F">
      <w:pPr>
        <w:pStyle w:val="Ttulo2"/>
      </w:pPr>
    </w:p>
    <w:p w14:paraId="0F44955C" w14:textId="638F8240" w:rsidR="00F85F5F" w:rsidRDefault="00F85F5F" w:rsidP="00F85F5F">
      <w:pPr>
        <w:pStyle w:val="Ttulo2"/>
      </w:pPr>
      <w:r>
        <w:t>Administración de la documentación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F85F5F" w:rsidRPr="003F43E3" w14:paraId="5E017AE1" w14:textId="77777777" w:rsidTr="00D27E64">
        <w:tc>
          <w:tcPr>
            <w:tcW w:w="3261" w:type="dxa"/>
            <w:vAlign w:val="center"/>
          </w:tcPr>
          <w:p w14:paraId="55229821" w14:textId="77777777" w:rsidR="00F85F5F" w:rsidRPr="003F43E3" w:rsidRDefault="00F85F5F" w:rsidP="00D27E64">
            <w:pPr>
              <w:ind w:right="-132"/>
              <w:rPr>
                <w:b/>
                <w:sz w:val="20"/>
                <w:szCs w:val="20"/>
              </w:rPr>
            </w:pPr>
            <w:r>
              <w:rPr>
                <w:b/>
                <w:sz w:val="20"/>
                <w:szCs w:val="20"/>
              </w:rPr>
              <w:t>Título</w:t>
            </w:r>
          </w:p>
        </w:tc>
        <w:tc>
          <w:tcPr>
            <w:tcW w:w="5811" w:type="dxa"/>
            <w:vAlign w:val="center"/>
          </w:tcPr>
          <w:p w14:paraId="2B32FC30" w14:textId="3D712458" w:rsidR="00F85F5F" w:rsidRPr="00EA3A02" w:rsidRDefault="00F85F5F" w:rsidP="00D27E64">
            <w:pPr>
              <w:ind w:right="545"/>
              <w:rPr>
                <w:sz w:val="20"/>
                <w:szCs w:val="20"/>
              </w:rPr>
            </w:pPr>
            <w:r>
              <w:rPr>
                <w:sz w:val="20"/>
                <w:szCs w:val="20"/>
              </w:rPr>
              <w:t>Reunión con la Organización de Apoyo para Nombres Genéricos (GNSO)</w:t>
            </w:r>
          </w:p>
        </w:tc>
      </w:tr>
      <w:tr w:rsidR="00F85F5F" w:rsidRPr="003F43E3" w14:paraId="1FA7A40C" w14:textId="77777777" w:rsidTr="00D27E64">
        <w:tc>
          <w:tcPr>
            <w:tcW w:w="3261" w:type="dxa"/>
            <w:vAlign w:val="center"/>
          </w:tcPr>
          <w:p w14:paraId="67C5478D" w14:textId="77777777" w:rsidR="00F85F5F" w:rsidRPr="003F43E3" w:rsidRDefault="00F85F5F" w:rsidP="00D27E64">
            <w:pPr>
              <w:ind w:right="-132"/>
              <w:rPr>
                <w:b/>
                <w:sz w:val="20"/>
                <w:szCs w:val="20"/>
              </w:rPr>
            </w:pPr>
            <w:r>
              <w:rPr>
                <w:b/>
                <w:sz w:val="20"/>
                <w:szCs w:val="20"/>
              </w:rPr>
              <w:t>Distribución</w:t>
            </w:r>
          </w:p>
        </w:tc>
        <w:tc>
          <w:tcPr>
            <w:tcW w:w="5811" w:type="dxa"/>
            <w:vAlign w:val="center"/>
          </w:tcPr>
          <w:p w14:paraId="1656EBFA" w14:textId="77777777" w:rsidR="00F85F5F" w:rsidRPr="003F43E3" w:rsidRDefault="00F85F5F" w:rsidP="00D27E64">
            <w:pPr>
              <w:ind w:right="545"/>
              <w:rPr>
                <w:sz w:val="20"/>
                <w:szCs w:val="20"/>
              </w:rPr>
            </w:pPr>
            <w:r>
              <w:rPr>
                <w:sz w:val="20"/>
                <w:szCs w:val="20"/>
              </w:rPr>
              <w:t>Miembros del GAC</w:t>
            </w:r>
          </w:p>
        </w:tc>
      </w:tr>
      <w:tr w:rsidR="00A87101" w:rsidRPr="003F43E3" w14:paraId="0242B373" w14:textId="77777777" w:rsidTr="00D27E64">
        <w:tc>
          <w:tcPr>
            <w:tcW w:w="3261" w:type="dxa"/>
            <w:vAlign w:val="center"/>
          </w:tcPr>
          <w:p w14:paraId="738FD29E" w14:textId="151554DE" w:rsidR="00A87101" w:rsidRPr="003F43E3" w:rsidRDefault="00A87101" w:rsidP="00D27E64">
            <w:pPr>
              <w:ind w:right="-132"/>
              <w:rPr>
                <w:b/>
                <w:sz w:val="20"/>
                <w:szCs w:val="20"/>
              </w:rPr>
            </w:pPr>
            <w:r>
              <w:rPr>
                <w:b/>
                <w:sz w:val="20"/>
                <w:szCs w:val="20"/>
              </w:rPr>
              <w:t>Fecha de distribución</w:t>
            </w:r>
          </w:p>
        </w:tc>
        <w:tc>
          <w:tcPr>
            <w:tcW w:w="5811" w:type="dxa"/>
            <w:vAlign w:val="center"/>
          </w:tcPr>
          <w:p w14:paraId="4D2F0033" w14:textId="77777777" w:rsidR="00A87101" w:rsidRDefault="007B5468" w:rsidP="00D27E64">
            <w:pPr>
              <w:ind w:right="545"/>
              <w:rPr>
                <w:sz w:val="20"/>
                <w:szCs w:val="20"/>
              </w:rPr>
            </w:pPr>
            <w:r>
              <w:rPr>
                <w:sz w:val="20"/>
                <w:szCs w:val="20"/>
              </w:rPr>
              <w:t>Versión 1.0, 7 de junio de 2018</w:t>
            </w:r>
          </w:p>
          <w:p w14:paraId="6F8FFF51" w14:textId="3AAE771C" w:rsidR="007B5468" w:rsidRDefault="007B5468" w:rsidP="00D27E64">
            <w:pPr>
              <w:ind w:right="545"/>
              <w:rPr>
                <w:sz w:val="20"/>
                <w:szCs w:val="20"/>
              </w:rPr>
            </w:pPr>
            <w:r>
              <w:rPr>
                <w:sz w:val="20"/>
                <w:szCs w:val="20"/>
              </w:rPr>
              <w:t>Versión 2.0, 14 de junio de 2018</w:t>
            </w:r>
          </w:p>
        </w:tc>
      </w:tr>
    </w:tbl>
    <w:bookmarkEnd w:id="1"/>
    <w:p w14:paraId="14C6D19E" w14:textId="56BB43D3" w:rsidR="00373FD7" w:rsidRPr="00373FD7" w:rsidRDefault="00373FD7" w:rsidP="00373FD7">
      <w:pPr>
        <w:pStyle w:val="Ttulo1"/>
        <w:ind w:right="545"/>
        <w:rPr>
          <w:sz w:val="24"/>
          <w:szCs w:val="24"/>
        </w:rPr>
      </w:pPr>
      <w:r>
        <w:lastRenderedPageBreak/>
        <w:t>ANEXO A: Informe entre sesiones del GAC: PDP 3.0 de la GNSO (distribuido al GAC el 25 de mayo de 2018)</w:t>
      </w:r>
    </w:p>
    <w:p w14:paraId="2A64585E" w14:textId="77777777" w:rsidR="00373FD7" w:rsidRDefault="00373FD7" w:rsidP="00373FD7">
      <w:pPr>
        <w:pStyle w:val="Ttulo2"/>
      </w:pPr>
      <w:r>
        <w:t>Cuestiones</w:t>
      </w:r>
    </w:p>
    <w:p w14:paraId="669EC9F0" w14:textId="77777777" w:rsidR="00373FD7" w:rsidRDefault="00373FD7" w:rsidP="00A5021B">
      <w:pPr>
        <w:pStyle w:val="Prrafodelista"/>
        <w:numPr>
          <w:ilvl w:val="0"/>
          <w:numId w:val="10"/>
        </w:numPr>
        <w:spacing w:before="100" w:beforeAutospacing="1" w:after="240"/>
        <w:ind w:right="545"/>
        <w:rPr>
          <w:szCs w:val="20"/>
        </w:rPr>
      </w:pPr>
      <w:r>
        <w:t>Problemas con la elaboración de políticas de la ICANN para dominios genéricos de alto nivel (gTLD).</w:t>
      </w:r>
    </w:p>
    <w:p w14:paraId="74B5FA70" w14:textId="77777777" w:rsidR="00373FD7" w:rsidRDefault="00373FD7" w:rsidP="00A5021B">
      <w:pPr>
        <w:pStyle w:val="Prrafodelista"/>
        <w:numPr>
          <w:ilvl w:val="0"/>
          <w:numId w:val="10"/>
        </w:numPr>
        <w:spacing w:before="100" w:beforeAutospacing="1" w:after="240"/>
        <w:ind w:right="545"/>
        <w:rPr>
          <w:szCs w:val="20"/>
        </w:rPr>
      </w:pPr>
      <w:r>
        <w:t>Posibles mejoras que están siendo consideradas por la Organización de Apoyo para Nombres Genéricos (GNSO).</w:t>
      </w:r>
    </w:p>
    <w:p w14:paraId="04559D5E" w14:textId="77777777" w:rsidR="00373FD7" w:rsidRPr="00927C0B" w:rsidRDefault="00373FD7" w:rsidP="00A5021B">
      <w:pPr>
        <w:pStyle w:val="Prrafodelista"/>
        <w:numPr>
          <w:ilvl w:val="0"/>
          <w:numId w:val="10"/>
        </w:numPr>
        <w:spacing w:before="100" w:beforeAutospacing="1" w:after="240"/>
        <w:ind w:right="545"/>
        <w:rPr>
          <w:szCs w:val="20"/>
        </w:rPr>
      </w:pPr>
      <w:r>
        <w:t>Posibles aportes del GAC a este proceso.</w:t>
      </w:r>
    </w:p>
    <w:p w14:paraId="6382CA3B" w14:textId="77777777" w:rsidR="00373FD7" w:rsidRDefault="00373FD7" w:rsidP="00373FD7">
      <w:pPr>
        <w:pStyle w:val="Ttulo2"/>
      </w:pPr>
      <w:r>
        <w:t>Elaboración de políticas para gTLD</w:t>
      </w:r>
    </w:p>
    <w:p w14:paraId="2B952448" w14:textId="77777777" w:rsidR="00373FD7" w:rsidRDefault="00373FD7" w:rsidP="00373FD7">
      <w:pPr>
        <w:spacing w:line="276" w:lineRule="auto"/>
        <w:jc w:val="both"/>
        <w:rPr>
          <w:rFonts w:cs="Calibri"/>
          <w:color w:val="000000"/>
          <w:sz w:val="20"/>
          <w:szCs w:val="20"/>
        </w:rPr>
      </w:pPr>
      <w:r>
        <w:rPr>
          <w:color w:val="000000"/>
          <w:sz w:val="20"/>
          <w:szCs w:val="20"/>
        </w:rPr>
        <w:t xml:space="preserve">La elaboración de políticas de la ICANN tiende a centrarse en los gTLD, los cuales se aplican a nivel global, en comparación con los ccTLD donde las políticas se desarrollan mayormente de manera local. Los Estatutos de la ICANN y los arreglos estructurales establecen un Proceso de Desarrollo de Políticas de gTLD administrado por la GNSO mediante los Grupos de Trabajo. </w:t>
      </w:r>
    </w:p>
    <w:p w14:paraId="139DB8BF" w14:textId="77777777" w:rsidR="00373FD7" w:rsidRPr="003526F9" w:rsidRDefault="00373FD7" w:rsidP="00373FD7">
      <w:pPr>
        <w:spacing w:line="276" w:lineRule="auto"/>
        <w:jc w:val="both"/>
        <w:rPr>
          <w:rFonts w:cs="Calibri"/>
          <w:color w:val="000000"/>
          <w:sz w:val="20"/>
          <w:szCs w:val="20"/>
          <w:lang w:val="es-AR"/>
        </w:rPr>
      </w:pPr>
    </w:p>
    <w:p w14:paraId="24C54204" w14:textId="77777777" w:rsidR="00373FD7" w:rsidRDefault="00373FD7" w:rsidP="00373FD7">
      <w:pPr>
        <w:spacing w:line="276" w:lineRule="auto"/>
        <w:jc w:val="both"/>
        <w:rPr>
          <w:rFonts w:cs="Calibri"/>
          <w:color w:val="000000"/>
          <w:sz w:val="20"/>
          <w:szCs w:val="20"/>
        </w:rPr>
      </w:pPr>
      <w:r>
        <w:rPr>
          <w:color w:val="000000"/>
          <w:sz w:val="20"/>
          <w:szCs w:val="20"/>
        </w:rPr>
        <w:t xml:space="preserve">El Consejo de la GNSO ha iniciado un proceso de revisión de la eficiencia y eficacia de la GNSO, y el personal de la ICANN ha preparado un </w:t>
      </w:r>
      <w:hyperlink r:id="rId14" w:history="1">
        <w:r>
          <w:rPr>
            <w:rStyle w:val="Hipervnculo"/>
            <w:sz w:val="20"/>
            <w:szCs w:val="20"/>
          </w:rPr>
          <w:t>documento para debate</w:t>
        </w:r>
      </w:hyperlink>
      <w:r>
        <w:rPr>
          <w:color w:val="000000"/>
          <w:sz w:val="20"/>
          <w:szCs w:val="20"/>
        </w:rPr>
        <w:t xml:space="preserve"> (“PDP 3.0”) para ser considerado por los diversos grupos de partes interesadas y unidades constitutivas de la GNSO.</w:t>
      </w:r>
    </w:p>
    <w:p w14:paraId="3E8269FF" w14:textId="77777777" w:rsidR="00373FD7" w:rsidRPr="003526F9" w:rsidRDefault="00373FD7" w:rsidP="00373FD7">
      <w:pPr>
        <w:spacing w:line="276" w:lineRule="auto"/>
        <w:jc w:val="both"/>
        <w:rPr>
          <w:rFonts w:cs="Calibri"/>
          <w:color w:val="000000"/>
          <w:sz w:val="20"/>
          <w:szCs w:val="20"/>
          <w:lang w:val="es-AR"/>
        </w:rPr>
      </w:pPr>
    </w:p>
    <w:p w14:paraId="2C292D9C" w14:textId="77777777" w:rsidR="00373FD7" w:rsidRDefault="00373FD7" w:rsidP="00373FD7">
      <w:pPr>
        <w:spacing w:line="276" w:lineRule="auto"/>
        <w:jc w:val="both"/>
        <w:rPr>
          <w:rFonts w:cs="Calibri"/>
          <w:color w:val="000000"/>
          <w:sz w:val="20"/>
          <w:szCs w:val="20"/>
        </w:rPr>
      </w:pPr>
      <w:r>
        <w:rPr>
          <w:color w:val="000000"/>
          <w:sz w:val="20"/>
          <w:szCs w:val="20"/>
        </w:rPr>
        <w:t>El documento identifica varios desafíos para la estructura actual de los Grupos de Trabajo para PDP:</w:t>
      </w:r>
    </w:p>
    <w:p w14:paraId="42C78892" w14:textId="77777777" w:rsidR="00373FD7" w:rsidRPr="006C4A48" w:rsidRDefault="00373FD7" w:rsidP="00373FD7">
      <w:pPr>
        <w:spacing w:line="276" w:lineRule="auto"/>
        <w:jc w:val="both"/>
        <w:rPr>
          <w:rFonts w:cs="Calibri"/>
          <w:color w:val="000000"/>
          <w:sz w:val="20"/>
          <w:szCs w:val="20"/>
        </w:rPr>
      </w:pPr>
    </w:p>
    <w:p w14:paraId="7BCF2D24" w14:textId="77777777" w:rsidR="00373FD7" w:rsidRPr="004B6515" w:rsidRDefault="00373FD7" w:rsidP="00A5021B">
      <w:pPr>
        <w:numPr>
          <w:ilvl w:val="0"/>
          <w:numId w:val="11"/>
        </w:numPr>
        <w:spacing w:line="276" w:lineRule="auto"/>
        <w:jc w:val="both"/>
        <w:rPr>
          <w:rFonts w:cs="Calibri"/>
          <w:color w:val="000000"/>
          <w:sz w:val="20"/>
          <w:szCs w:val="20"/>
        </w:rPr>
      </w:pPr>
      <w:r>
        <w:rPr>
          <w:color w:val="000000"/>
          <w:sz w:val="20"/>
          <w:szCs w:val="20"/>
        </w:rPr>
        <w:t>Dinámica de los Grupos de Trabajo para PDP: los grupos de trabajo están creciendo en tamaño pero tienen un esfuerzo disparejo entre los participantes; hay menos esfuerzo hacia los objetivos del grupo; el “consenso por cansancio” resulta de la falta de incentivos para finalizar el trabajo; encontrar un equilibrio entre los resultados de la reunión del WG y los correos electrónicos, chats, etc. es un problema.</w:t>
      </w:r>
    </w:p>
    <w:p w14:paraId="5603B1B1" w14:textId="77777777" w:rsidR="00373FD7" w:rsidRPr="006C4A48" w:rsidRDefault="00373FD7" w:rsidP="00373FD7">
      <w:pPr>
        <w:spacing w:line="276" w:lineRule="auto"/>
        <w:ind w:left="720"/>
        <w:jc w:val="both"/>
        <w:rPr>
          <w:rFonts w:cs="Calibri"/>
          <w:color w:val="000000"/>
          <w:sz w:val="20"/>
          <w:szCs w:val="20"/>
        </w:rPr>
      </w:pPr>
    </w:p>
    <w:p w14:paraId="66C4B7A1" w14:textId="77777777" w:rsidR="00373FD7" w:rsidRPr="004B6515" w:rsidRDefault="00373FD7" w:rsidP="00A5021B">
      <w:pPr>
        <w:numPr>
          <w:ilvl w:val="0"/>
          <w:numId w:val="11"/>
        </w:numPr>
        <w:spacing w:line="276" w:lineRule="auto"/>
        <w:jc w:val="both"/>
        <w:rPr>
          <w:rFonts w:cs="Calibri"/>
          <w:color w:val="000000"/>
          <w:sz w:val="20"/>
          <w:szCs w:val="20"/>
        </w:rPr>
      </w:pPr>
      <w:r>
        <w:rPr>
          <w:color w:val="000000"/>
          <w:sz w:val="20"/>
          <w:szCs w:val="20"/>
        </w:rPr>
        <w:t>Liderazgo del WG: los requisitos y expectativas en cuanto a las aptitudes están aumentando, así como también las exigencias respecto a los tiempos.</w:t>
      </w:r>
    </w:p>
    <w:p w14:paraId="23C57DA5" w14:textId="77777777" w:rsidR="00373FD7" w:rsidRPr="006C4A48" w:rsidRDefault="00373FD7" w:rsidP="00373FD7">
      <w:pPr>
        <w:spacing w:line="276" w:lineRule="auto"/>
        <w:jc w:val="both"/>
        <w:rPr>
          <w:rFonts w:cs="Calibri"/>
          <w:color w:val="000000"/>
          <w:sz w:val="20"/>
          <w:szCs w:val="20"/>
        </w:rPr>
      </w:pPr>
    </w:p>
    <w:p w14:paraId="6A71FAD4" w14:textId="77777777" w:rsidR="00373FD7" w:rsidRPr="004B6515" w:rsidRDefault="00373FD7" w:rsidP="00A5021B">
      <w:pPr>
        <w:numPr>
          <w:ilvl w:val="0"/>
          <w:numId w:val="11"/>
        </w:numPr>
        <w:spacing w:line="276" w:lineRule="auto"/>
        <w:jc w:val="both"/>
        <w:rPr>
          <w:rFonts w:cs="Calibri"/>
          <w:color w:val="000000"/>
          <w:sz w:val="20"/>
          <w:szCs w:val="20"/>
        </w:rPr>
      </w:pPr>
      <w:r>
        <w:rPr>
          <w:color w:val="000000"/>
          <w:sz w:val="20"/>
          <w:szCs w:val="20"/>
        </w:rPr>
        <w:t xml:space="preserve">Complejidad del asunto: existen interdependencias con otros trabajos de la ICANN; prepararse para las llamadas y mantenerse al tanto de discusiones y elaboraciones complejas constituyen problemas. </w:t>
      </w:r>
    </w:p>
    <w:p w14:paraId="31B099B1" w14:textId="77777777" w:rsidR="00373FD7" w:rsidRPr="006C4A48" w:rsidRDefault="00373FD7" w:rsidP="00373FD7">
      <w:pPr>
        <w:spacing w:line="276" w:lineRule="auto"/>
        <w:jc w:val="both"/>
        <w:rPr>
          <w:rFonts w:cs="Calibri"/>
          <w:color w:val="000000"/>
          <w:sz w:val="20"/>
          <w:szCs w:val="20"/>
        </w:rPr>
      </w:pPr>
    </w:p>
    <w:p w14:paraId="5F04ECBF" w14:textId="77777777" w:rsidR="00373FD7" w:rsidRPr="004B6515" w:rsidRDefault="00373FD7" w:rsidP="00A5021B">
      <w:pPr>
        <w:numPr>
          <w:ilvl w:val="0"/>
          <w:numId w:val="11"/>
        </w:numPr>
        <w:spacing w:line="276" w:lineRule="auto"/>
        <w:jc w:val="both"/>
        <w:rPr>
          <w:rFonts w:cs="Calibri"/>
          <w:color w:val="000000"/>
          <w:sz w:val="20"/>
          <w:szCs w:val="20"/>
        </w:rPr>
      </w:pPr>
      <w:r>
        <w:rPr>
          <w:color w:val="000000"/>
          <w:sz w:val="20"/>
          <w:szCs w:val="20"/>
        </w:rPr>
        <w:t>Generación de consenso: esto es un arte, que puede ser enseñado pero eso no ocurre actualmente.</w:t>
      </w:r>
    </w:p>
    <w:p w14:paraId="5AFB463C" w14:textId="77777777" w:rsidR="00373FD7" w:rsidRPr="006C4A48" w:rsidRDefault="00373FD7" w:rsidP="00373FD7">
      <w:pPr>
        <w:spacing w:line="276" w:lineRule="auto"/>
        <w:jc w:val="both"/>
        <w:rPr>
          <w:rFonts w:cs="Calibri"/>
          <w:color w:val="000000"/>
          <w:sz w:val="20"/>
          <w:szCs w:val="20"/>
        </w:rPr>
      </w:pPr>
    </w:p>
    <w:p w14:paraId="74C24662" w14:textId="77777777" w:rsidR="00373FD7" w:rsidRPr="004B6515" w:rsidRDefault="00373FD7" w:rsidP="00A5021B">
      <w:pPr>
        <w:numPr>
          <w:ilvl w:val="0"/>
          <w:numId w:val="11"/>
        </w:numPr>
        <w:spacing w:line="276" w:lineRule="auto"/>
        <w:jc w:val="both"/>
        <w:rPr>
          <w:rFonts w:cs="Calibri"/>
          <w:color w:val="000000"/>
          <w:sz w:val="20"/>
          <w:szCs w:val="20"/>
        </w:rPr>
      </w:pPr>
      <w:r>
        <w:rPr>
          <w:color w:val="000000"/>
          <w:sz w:val="20"/>
          <w:szCs w:val="20"/>
        </w:rPr>
        <w:t>Rol del Consejo de la GNSO: este siempre presenta desafíos, ya que la GNSO es una federación de grupos e intereses cuyas posiciones generalmente difieren.</w:t>
      </w:r>
    </w:p>
    <w:p w14:paraId="5C130E98" w14:textId="77777777" w:rsidR="00373FD7" w:rsidRPr="004B6515" w:rsidRDefault="00373FD7" w:rsidP="00373FD7">
      <w:pPr>
        <w:spacing w:line="276" w:lineRule="auto"/>
        <w:jc w:val="both"/>
        <w:rPr>
          <w:rFonts w:cs="Calibri"/>
          <w:color w:val="000000"/>
          <w:sz w:val="20"/>
          <w:szCs w:val="20"/>
        </w:rPr>
      </w:pPr>
    </w:p>
    <w:p w14:paraId="6223B3C2" w14:textId="77777777" w:rsidR="00373FD7" w:rsidRDefault="00373FD7" w:rsidP="00373FD7">
      <w:pPr>
        <w:pStyle w:val="Ttulo2"/>
      </w:pPr>
      <w:r>
        <w:lastRenderedPageBreak/>
        <w:t>Posibles mejoras</w:t>
      </w:r>
    </w:p>
    <w:p w14:paraId="0EB411D1" w14:textId="77777777" w:rsidR="00373FD7" w:rsidRDefault="00373FD7" w:rsidP="00373FD7">
      <w:pPr>
        <w:pStyle w:val="Textoindependiente"/>
        <w:rPr>
          <w:szCs w:val="20"/>
        </w:rPr>
      </w:pPr>
      <w:r>
        <w:t>El documento para debate también propone varias “posibles mejoras incrementales”. Estas se detallan en el documento y pueden resumirse de la siguiente manera:</w:t>
      </w:r>
    </w:p>
    <w:p w14:paraId="2D1C2777" w14:textId="77777777" w:rsidR="00373FD7" w:rsidRPr="008427F8" w:rsidRDefault="00373FD7" w:rsidP="00373FD7">
      <w:pPr>
        <w:pStyle w:val="Textoindependiente"/>
        <w:rPr>
          <w:b/>
          <w:szCs w:val="20"/>
        </w:rPr>
      </w:pPr>
      <w:r>
        <w:rPr>
          <w:b/>
          <w:szCs w:val="20"/>
        </w:rPr>
        <w:t>Mejor estructuración de los Grupos de Trabajo</w:t>
      </w:r>
    </w:p>
    <w:p w14:paraId="2C22BDF9" w14:textId="77777777" w:rsidR="00373FD7" w:rsidRDefault="00373FD7" w:rsidP="00A5021B">
      <w:pPr>
        <w:pStyle w:val="Textoindependiente"/>
        <w:numPr>
          <w:ilvl w:val="0"/>
          <w:numId w:val="12"/>
        </w:numPr>
        <w:ind w:left="357" w:hanging="357"/>
        <w:rPr>
          <w:szCs w:val="20"/>
        </w:rPr>
      </w:pPr>
      <w:r>
        <w:t>Compromiso formal de los participantes al principio de la generación de consenso y declaraciones de su conocimiento y experiencia.</w:t>
      </w:r>
    </w:p>
    <w:p w14:paraId="4BDEC6B5" w14:textId="77777777" w:rsidR="00373FD7" w:rsidRPr="008427F8" w:rsidRDefault="00373FD7" w:rsidP="00A5021B">
      <w:pPr>
        <w:pStyle w:val="Textoindependiente"/>
        <w:numPr>
          <w:ilvl w:val="0"/>
          <w:numId w:val="12"/>
        </w:numPr>
        <w:ind w:left="357" w:hanging="357"/>
        <w:rPr>
          <w:szCs w:val="20"/>
        </w:rPr>
      </w:pPr>
      <w:r>
        <w:t>Alternativas al modelo “abierto para todos”. Por ejemplo, tener miembros designados por las SO/AC + participantes individuales + observadores individuales (de manera similar al modelo actual del CCWG).</w:t>
      </w:r>
    </w:p>
    <w:p w14:paraId="3C79F202" w14:textId="77777777" w:rsidR="00373FD7" w:rsidRPr="008427F8" w:rsidRDefault="00373FD7" w:rsidP="00373FD7">
      <w:pPr>
        <w:pStyle w:val="Textoindependiente"/>
        <w:rPr>
          <w:b/>
          <w:szCs w:val="20"/>
        </w:rPr>
      </w:pPr>
      <w:r>
        <w:rPr>
          <w:b/>
          <w:szCs w:val="20"/>
        </w:rPr>
        <w:t>Incentivos para mejor liderazgo de los WG</w:t>
      </w:r>
    </w:p>
    <w:p w14:paraId="2D4611EA" w14:textId="77777777" w:rsidR="00373FD7" w:rsidRPr="008427F8" w:rsidRDefault="00373FD7" w:rsidP="00A5021B">
      <w:pPr>
        <w:pStyle w:val="Textoindependiente"/>
        <w:numPr>
          <w:ilvl w:val="0"/>
          <w:numId w:val="13"/>
        </w:numPr>
        <w:rPr>
          <w:szCs w:val="20"/>
        </w:rPr>
      </w:pPr>
      <w:r>
        <w:rPr>
          <w:color w:val="000000"/>
          <w:szCs w:val="20"/>
        </w:rPr>
        <w:t>Pautas para los líderes de los WG en cuanto a generar consenso y evitar captura.</w:t>
      </w:r>
    </w:p>
    <w:p w14:paraId="742A1A04" w14:textId="77777777" w:rsidR="00373FD7" w:rsidRPr="002446F5" w:rsidRDefault="00373FD7" w:rsidP="00A5021B">
      <w:pPr>
        <w:pStyle w:val="Textoindependiente"/>
        <w:numPr>
          <w:ilvl w:val="0"/>
          <w:numId w:val="13"/>
        </w:numPr>
        <w:rPr>
          <w:szCs w:val="20"/>
        </w:rPr>
      </w:pPr>
      <w:r>
        <w:rPr>
          <w:color w:val="000000"/>
          <w:szCs w:val="20"/>
        </w:rPr>
        <w:t>Descripción más detallada del trabajo para los líderes de los WG.</w:t>
      </w:r>
    </w:p>
    <w:p w14:paraId="0E350DC2" w14:textId="77777777" w:rsidR="00373FD7" w:rsidRPr="008427F8" w:rsidRDefault="00373FD7" w:rsidP="00A5021B">
      <w:pPr>
        <w:pStyle w:val="Textoindependiente"/>
        <w:numPr>
          <w:ilvl w:val="0"/>
          <w:numId w:val="13"/>
        </w:numPr>
        <w:rPr>
          <w:szCs w:val="20"/>
        </w:rPr>
      </w:pPr>
      <w:r>
        <w:rPr>
          <w:color w:val="000000"/>
          <w:szCs w:val="20"/>
        </w:rPr>
        <w:t>Revisión periódica del desempeño de los presidentes de los WG.</w:t>
      </w:r>
    </w:p>
    <w:p w14:paraId="245D7A29" w14:textId="77777777" w:rsidR="00373FD7" w:rsidRPr="008427F8" w:rsidRDefault="00373FD7" w:rsidP="00373FD7">
      <w:pPr>
        <w:pStyle w:val="Textoindependiente"/>
        <w:rPr>
          <w:rFonts w:cs="Calibri"/>
          <w:b/>
          <w:color w:val="000000"/>
          <w:szCs w:val="20"/>
        </w:rPr>
      </w:pPr>
      <w:r>
        <w:rPr>
          <w:b/>
          <w:color w:val="000000"/>
          <w:szCs w:val="20"/>
        </w:rPr>
        <w:t>Mejor manejo de los asuntos complejos</w:t>
      </w:r>
    </w:p>
    <w:p w14:paraId="31243097" w14:textId="77777777" w:rsidR="00373FD7" w:rsidRPr="008427F8" w:rsidRDefault="00373FD7" w:rsidP="00A5021B">
      <w:pPr>
        <w:pStyle w:val="Textoindependiente"/>
        <w:numPr>
          <w:ilvl w:val="0"/>
          <w:numId w:val="14"/>
        </w:numPr>
        <w:rPr>
          <w:szCs w:val="20"/>
        </w:rPr>
      </w:pPr>
      <w:r>
        <w:rPr>
          <w:color w:val="000000"/>
          <w:szCs w:val="20"/>
        </w:rPr>
        <w:t>Creación de ‘equipos cooperativos’ de miembros más activos dentro de los WG para ayudar a otros que pueden asistir menos a todas las reuniones.</w:t>
      </w:r>
    </w:p>
    <w:p w14:paraId="5468E573" w14:textId="77777777" w:rsidR="00373FD7" w:rsidRPr="008427F8" w:rsidRDefault="00373FD7" w:rsidP="00A5021B">
      <w:pPr>
        <w:pStyle w:val="Textoindependiente"/>
        <w:numPr>
          <w:ilvl w:val="0"/>
          <w:numId w:val="14"/>
        </w:numPr>
        <w:rPr>
          <w:szCs w:val="20"/>
        </w:rPr>
      </w:pPr>
      <w:r>
        <w:rPr>
          <w:color w:val="000000"/>
          <w:szCs w:val="20"/>
        </w:rPr>
        <w:t>Un mecanismo para que los nuevos participantes observen y aprendan antes de participar en PDP activos.</w:t>
      </w:r>
    </w:p>
    <w:p w14:paraId="57374963" w14:textId="77777777" w:rsidR="00373FD7" w:rsidRPr="008427F8" w:rsidRDefault="00373FD7" w:rsidP="00373FD7">
      <w:pPr>
        <w:pStyle w:val="Textoindependiente"/>
        <w:rPr>
          <w:rFonts w:cs="Calibri"/>
          <w:b/>
          <w:color w:val="000000"/>
          <w:szCs w:val="20"/>
        </w:rPr>
      </w:pPr>
      <w:r>
        <w:rPr>
          <w:b/>
          <w:color w:val="000000"/>
          <w:szCs w:val="20"/>
        </w:rPr>
        <w:t>Incentivos para la generación de consenso</w:t>
      </w:r>
    </w:p>
    <w:p w14:paraId="7F074848" w14:textId="77777777" w:rsidR="00373FD7" w:rsidRDefault="00373FD7" w:rsidP="00A5021B">
      <w:pPr>
        <w:pStyle w:val="Textoindependiente"/>
        <w:numPr>
          <w:ilvl w:val="0"/>
          <w:numId w:val="15"/>
        </w:numPr>
        <w:rPr>
          <w:rFonts w:cs="Calibri"/>
          <w:color w:val="000000"/>
          <w:szCs w:val="20"/>
        </w:rPr>
      </w:pPr>
      <w:r>
        <w:rPr>
          <w:color w:val="000000"/>
          <w:szCs w:val="20"/>
        </w:rPr>
        <w:t>Más pautas para los WG sobre la toma de decisiones respecto del consenso y la resolución de disputas.</w:t>
      </w:r>
    </w:p>
    <w:p w14:paraId="556CF2E2" w14:textId="77777777" w:rsidR="00373FD7" w:rsidRPr="004B6515" w:rsidRDefault="00373FD7" w:rsidP="00A5021B">
      <w:pPr>
        <w:pStyle w:val="Textoindependiente"/>
        <w:numPr>
          <w:ilvl w:val="0"/>
          <w:numId w:val="15"/>
        </w:numPr>
        <w:rPr>
          <w:rFonts w:cs="Calibri"/>
          <w:color w:val="000000"/>
          <w:szCs w:val="20"/>
        </w:rPr>
      </w:pPr>
      <w:r>
        <w:rPr>
          <w:color w:val="000000"/>
          <w:szCs w:val="20"/>
        </w:rPr>
        <w:t>Aclaración de las diversas posiciones de los participantes al principio para identificar un fundamento en común.</w:t>
      </w:r>
    </w:p>
    <w:p w14:paraId="4FAEA456" w14:textId="77777777" w:rsidR="00373FD7" w:rsidRDefault="00373FD7" w:rsidP="00373FD7">
      <w:pPr>
        <w:pStyle w:val="Ttulo2"/>
      </w:pPr>
      <w:r>
        <w:t>Aportes posibles del GAC</w:t>
      </w:r>
    </w:p>
    <w:p w14:paraId="79E36815" w14:textId="77777777" w:rsidR="00373FD7" w:rsidRDefault="00373FD7" w:rsidP="00373FD7">
      <w:pPr>
        <w:widowControl w:val="0"/>
        <w:autoSpaceDE w:val="0"/>
        <w:autoSpaceDN w:val="0"/>
        <w:adjustRightInd w:val="0"/>
        <w:spacing w:after="200" w:line="276" w:lineRule="auto"/>
        <w:ind w:right="545"/>
        <w:jc w:val="both"/>
        <w:rPr>
          <w:rFonts w:eastAsia="Calibri" w:cs="Century Gothic"/>
          <w:sz w:val="20"/>
          <w:szCs w:val="20"/>
        </w:rPr>
      </w:pPr>
      <w:r>
        <w:rPr>
          <w:sz w:val="20"/>
          <w:szCs w:val="20"/>
        </w:rPr>
        <w:t>Aún no queda claro si otras SO/AC tendrán la oportunidad formal de suministrar comentarios sobre el documento PDP 3.0. Sin embargo, el GAC podría aprovechar la oportunidad de su reunión con el Consejo de la GNSO en ICANN 62 para plantear los siguientes puntos de conversación sugeridos:</w:t>
      </w:r>
    </w:p>
    <w:p w14:paraId="241CDC9A" w14:textId="77777777" w:rsidR="00373FD7" w:rsidRDefault="00373FD7" w:rsidP="00A5021B">
      <w:pPr>
        <w:pStyle w:val="Prrafodelista"/>
        <w:widowControl w:val="0"/>
        <w:numPr>
          <w:ilvl w:val="0"/>
          <w:numId w:val="8"/>
        </w:numPr>
        <w:autoSpaceDE w:val="0"/>
        <w:autoSpaceDN w:val="0"/>
        <w:adjustRightInd w:val="0"/>
        <w:ind w:right="545"/>
        <w:rPr>
          <w:rFonts w:cs="Century Gothic"/>
          <w:szCs w:val="20"/>
        </w:rPr>
      </w:pPr>
      <w:r>
        <w:t>Los miembros del GAC consideran que el documento es oportuno y útil.</w:t>
      </w:r>
    </w:p>
    <w:p w14:paraId="0247B3E0" w14:textId="77777777" w:rsidR="00373FD7" w:rsidRDefault="00373FD7" w:rsidP="00A5021B">
      <w:pPr>
        <w:pStyle w:val="Prrafodelista"/>
        <w:widowControl w:val="0"/>
        <w:numPr>
          <w:ilvl w:val="0"/>
          <w:numId w:val="8"/>
        </w:numPr>
        <w:autoSpaceDE w:val="0"/>
        <w:autoSpaceDN w:val="0"/>
        <w:adjustRightInd w:val="0"/>
        <w:ind w:right="545"/>
        <w:rPr>
          <w:rFonts w:cs="Century Gothic"/>
          <w:szCs w:val="20"/>
        </w:rPr>
      </w:pPr>
      <w:r>
        <w:t xml:space="preserve">Dadas las interdependencias entre las tareas de la ICANN, sería útil que </w:t>
      </w:r>
      <w:proofErr w:type="gramStart"/>
      <w:r>
        <w:t>la</w:t>
      </w:r>
      <w:proofErr w:type="gramEnd"/>
      <w:r>
        <w:t xml:space="preserve"> discusiones de las cuestiones planteadas en el documento vayan más allá de los miembros de la GNSO.</w:t>
      </w:r>
    </w:p>
    <w:p w14:paraId="13CC4722" w14:textId="77777777" w:rsidR="00373FD7" w:rsidRDefault="00373FD7" w:rsidP="00A5021B">
      <w:pPr>
        <w:pStyle w:val="Prrafodelista"/>
        <w:widowControl w:val="0"/>
        <w:numPr>
          <w:ilvl w:val="0"/>
          <w:numId w:val="8"/>
        </w:numPr>
        <w:autoSpaceDE w:val="0"/>
        <w:autoSpaceDN w:val="0"/>
        <w:adjustRightInd w:val="0"/>
        <w:ind w:right="545"/>
        <w:rPr>
          <w:rFonts w:cs="Century Gothic"/>
          <w:szCs w:val="20"/>
        </w:rPr>
      </w:pPr>
      <w:r>
        <w:t>El GAC sigue comprometido con su participación en los PDP en la medida en que las cuestiones en materia de política pública estén siendo tratadas.</w:t>
      </w:r>
    </w:p>
    <w:p w14:paraId="1ED1A405" w14:textId="77777777" w:rsidR="00373FD7" w:rsidRDefault="00373FD7" w:rsidP="00A5021B">
      <w:pPr>
        <w:pStyle w:val="Prrafodelista"/>
        <w:widowControl w:val="0"/>
        <w:numPr>
          <w:ilvl w:val="0"/>
          <w:numId w:val="8"/>
        </w:numPr>
        <w:autoSpaceDE w:val="0"/>
        <w:autoSpaceDN w:val="0"/>
        <w:adjustRightInd w:val="0"/>
        <w:ind w:right="545"/>
        <w:rPr>
          <w:rFonts w:cs="Century Gothic"/>
          <w:szCs w:val="20"/>
        </w:rPr>
      </w:pPr>
      <w:r>
        <w:t xml:space="preserve">Un proceso de política determinado, en efecto, por cualquiera que se ofrezca como </w:t>
      </w:r>
      <w:r>
        <w:lastRenderedPageBreak/>
        <w:t>voluntario o participe en llamadas/reuniones, siempre será problemático para obtener la experiencia relevante, un enfoque en la resolución de problemas y la simple gestión de proyectos, en especial, cuando el asunto se torna más complejo.</w:t>
      </w:r>
    </w:p>
    <w:p w14:paraId="6B8E14ED" w14:textId="77777777" w:rsidR="00373FD7" w:rsidRDefault="00373FD7" w:rsidP="00A5021B">
      <w:pPr>
        <w:pStyle w:val="Prrafodelista"/>
        <w:widowControl w:val="0"/>
        <w:numPr>
          <w:ilvl w:val="0"/>
          <w:numId w:val="8"/>
        </w:numPr>
        <w:autoSpaceDE w:val="0"/>
        <w:autoSpaceDN w:val="0"/>
        <w:adjustRightInd w:val="0"/>
        <w:ind w:right="545"/>
        <w:rPr>
          <w:rFonts w:cs="Century Gothic"/>
          <w:szCs w:val="20"/>
        </w:rPr>
      </w:pPr>
      <w:r>
        <w:t>La organización de los Grupos de Trabajo para PDP sobre el modelo del CCWG, con miembros designados de las SO/AC relevantes y otros que participan como individuos fomentaría: (a) mejores niveles de responsabilidad, eficiencia y transparencia; (b) un perspectiva genuina de toda la comunidad respecto de los PDP; y (c) participación mejorada y más informada del GAC en los PDP.</w:t>
      </w:r>
    </w:p>
    <w:p w14:paraId="44C5C261" w14:textId="77777777" w:rsidR="00373FD7" w:rsidRPr="00DD6D45" w:rsidRDefault="00373FD7" w:rsidP="00A5021B">
      <w:pPr>
        <w:pStyle w:val="Prrafodelista"/>
        <w:widowControl w:val="0"/>
        <w:numPr>
          <w:ilvl w:val="0"/>
          <w:numId w:val="8"/>
        </w:numPr>
        <w:autoSpaceDE w:val="0"/>
        <w:autoSpaceDN w:val="0"/>
        <w:adjustRightInd w:val="0"/>
        <w:ind w:right="545"/>
        <w:rPr>
          <w:rFonts w:cs="Century Gothic"/>
          <w:szCs w:val="20"/>
        </w:rPr>
      </w:pPr>
      <w:r>
        <w:t>Las medidas propuestas en el documento para obtener mejor capacitación y recursos para los líderes y participantes de los WG son útiles y razonables, y podrían continuar el muy buen respaldo que ya proporciona el personal de la GNSO.</w:t>
      </w:r>
    </w:p>
    <w:p w14:paraId="71BEEDDC" w14:textId="77777777" w:rsidR="00373FD7" w:rsidRDefault="00373FD7" w:rsidP="00373FD7">
      <w:pPr>
        <w:widowControl w:val="0"/>
        <w:autoSpaceDE w:val="0"/>
        <w:autoSpaceDN w:val="0"/>
        <w:adjustRightInd w:val="0"/>
        <w:spacing w:after="200" w:line="276" w:lineRule="auto"/>
        <w:ind w:right="545"/>
        <w:jc w:val="both"/>
        <w:rPr>
          <w:rFonts w:eastAsia="Calibri"/>
          <w:sz w:val="20"/>
          <w:szCs w:val="22"/>
        </w:rPr>
      </w:pPr>
    </w:p>
    <w:p w14:paraId="44B7FCF8" w14:textId="77777777" w:rsidR="00373FD7" w:rsidRDefault="00373FD7" w:rsidP="00373FD7">
      <w:pPr>
        <w:pStyle w:val="Ttulo2"/>
      </w:pPr>
      <w:r>
        <w:t>Administración de la documentación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373FD7" w:rsidRPr="003F43E3" w14:paraId="7DE31E75" w14:textId="77777777" w:rsidTr="00F755F2">
        <w:tc>
          <w:tcPr>
            <w:tcW w:w="3261" w:type="dxa"/>
            <w:vAlign w:val="center"/>
          </w:tcPr>
          <w:p w14:paraId="61708D3C" w14:textId="77777777" w:rsidR="00373FD7" w:rsidRPr="003F43E3" w:rsidRDefault="00373FD7" w:rsidP="00F755F2">
            <w:pPr>
              <w:ind w:right="-132"/>
              <w:rPr>
                <w:b/>
                <w:sz w:val="20"/>
                <w:szCs w:val="20"/>
              </w:rPr>
            </w:pPr>
            <w:r>
              <w:rPr>
                <w:b/>
                <w:sz w:val="20"/>
                <w:szCs w:val="20"/>
              </w:rPr>
              <w:t>Título</w:t>
            </w:r>
          </w:p>
        </w:tc>
        <w:tc>
          <w:tcPr>
            <w:tcW w:w="5811" w:type="dxa"/>
            <w:vAlign w:val="center"/>
          </w:tcPr>
          <w:p w14:paraId="35E71A27" w14:textId="77777777" w:rsidR="00373FD7" w:rsidRPr="00EA3A02" w:rsidRDefault="00373FD7" w:rsidP="00F755F2">
            <w:pPr>
              <w:ind w:right="545"/>
              <w:rPr>
                <w:sz w:val="20"/>
                <w:szCs w:val="20"/>
              </w:rPr>
            </w:pPr>
            <w:r>
              <w:rPr>
                <w:sz w:val="20"/>
                <w:szCs w:val="20"/>
              </w:rPr>
              <w:t>PDP 3.0 de la GNSO</w:t>
            </w:r>
          </w:p>
        </w:tc>
      </w:tr>
      <w:tr w:rsidR="00373FD7" w:rsidRPr="003F43E3" w14:paraId="115550A3" w14:textId="77777777" w:rsidTr="00F755F2">
        <w:tc>
          <w:tcPr>
            <w:tcW w:w="3261" w:type="dxa"/>
            <w:vAlign w:val="center"/>
          </w:tcPr>
          <w:p w14:paraId="0D147BF9" w14:textId="77777777" w:rsidR="00373FD7" w:rsidRPr="003F43E3" w:rsidRDefault="00373FD7" w:rsidP="00F755F2">
            <w:pPr>
              <w:ind w:right="-132"/>
              <w:rPr>
                <w:b/>
                <w:sz w:val="20"/>
                <w:szCs w:val="20"/>
              </w:rPr>
            </w:pPr>
            <w:r>
              <w:rPr>
                <w:b/>
                <w:sz w:val="20"/>
                <w:szCs w:val="20"/>
              </w:rPr>
              <w:t>Distribución</w:t>
            </w:r>
          </w:p>
        </w:tc>
        <w:tc>
          <w:tcPr>
            <w:tcW w:w="5811" w:type="dxa"/>
            <w:vAlign w:val="center"/>
          </w:tcPr>
          <w:p w14:paraId="65E4B088" w14:textId="77777777" w:rsidR="00373FD7" w:rsidRPr="003F43E3" w:rsidRDefault="00373FD7" w:rsidP="00F755F2">
            <w:pPr>
              <w:ind w:right="545"/>
              <w:rPr>
                <w:sz w:val="20"/>
                <w:szCs w:val="20"/>
              </w:rPr>
            </w:pPr>
            <w:r>
              <w:rPr>
                <w:sz w:val="20"/>
                <w:szCs w:val="20"/>
              </w:rPr>
              <w:t>Miembros del GAC</w:t>
            </w:r>
          </w:p>
        </w:tc>
      </w:tr>
      <w:tr w:rsidR="00373FD7" w:rsidRPr="003F43E3" w14:paraId="3D4DA103" w14:textId="77777777" w:rsidTr="00F755F2">
        <w:tc>
          <w:tcPr>
            <w:tcW w:w="3261" w:type="dxa"/>
            <w:vAlign w:val="center"/>
          </w:tcPr>
          <w:p w14:paraId="11034107" w14:textId="77777777" w:rsidR="00373FD7" w:rsidRPr="003F43E3" w:rsidRDefault="00373FD7" w:rsidP="00F755F2">
            <w:pPr>
              <w:ind w:right="-132"/>
              <w:rPr>
                <w:b/>
                <w:sz w:val="20"/>
                <w:szCs w:val="20"/>
              </w:rPr>
            </w:pPr>
            <w:r>
              <w:rPr>
                <w:b/>
                <w:sz w:val="20"/>
                <w:szCs w:val="20"/>
              </w:rPr>
              <w:t>Fecha de distribución</w:t>
            </w:r>
          </w:p>
        </w:tc>
        <w:tc>
          <w:tcPr>
            <w:tcW w:w="5811" w:type="dxa"/>
            <w:vAlign w:val="center"/>
          </w:tcPr>
          <w:p w14:paraId="44E26BC8" w14:textId="77777777" w:rsidR="00373FD7" w:rsidRPr="003F43E3" w:rsidRDefault="00373FD7" w:rsidP="00F755F2">
            <w:pPr>
              <w:ind w:right="545"/>
              <w:rPr>
                <w:sz w:val="20"/>
                <w:szCs w:val="20"/>
              </w:rPr>
            </w:pPr>
            <w:r>
              <w:rPr>
                <w:sz w:val="20"/>
                <w:szCs w:val="20"/>
              </w:rPr>
              <w:t>25 de mayo de 2018</w:t>
            </w:r>
          </w:p>
        </w:tc>
      </w:tr>
    </w:tbl>
    <w:p w14:paraId="0BD66522" w14:textId="3AF272B6" w:rsidR="002D63C1" w:rsidRDefault="002D63C1" w:rsidP="002D63C1">
      <w:pPr>
        <w:pStyle w:val="Textoindependiente"/>
      </w:pPr>
    </w:p>
    <w:p w14:paraId="02279427" w14:textId="436B3C16" w:rsidR="002D63C1" w:rsidRDefault="002D63C1" w:rsidP="002D63C1">
      <w:pPr>
        <w:pStyle w:val="Textoindependiente"/>
      </w:pPr>
    </w:p>
    <w:p w14:paraId="03ED0060" w14:textId="363407F7" w:rsidR="002D63C1" w:rsidRDefault="002D63C1" w:rsidP="002D63C1">
      <w:pPr>
        <w:pStyle w:val="Textoindependiente"/>
      </w:pPr>
    </w:p>
    <w:p w14:paraId="05226534" w14:textId="13912089" w:rsidR="002D63C1" w:rsidRDefault="002D63C1" w:rsidP="002D63C1">
      <w:pPr>
        <w:pStyle w:val="Textoindependiente"/>
      </w:pPr>
    </w:p>
    <w:p w14:paraId="4199D46D" w14:textId="45773D54" w:rsidR="002D63C1" w:rsidRDefault="002D63C1" w:rsidP="002D63C1">
      <w:pPr>
        <w:pStyle w:val="Textoindependiente"/>
      </w:pPr>
    </w:p>
    <w:p w14:paraId="0A78904B" w14:textId="4E443961" w:rsidR="002D63C1" w:rsidRDefault="002D63C1" w:rsidP="002D63C1">
      <w:pPr>
        <w:pStyle w:val="Textoindependiente"/>
      </w:pPr>
    </w:p>
    <w:p w14:paraId="2A5A178E" w14:textId="5D4669D7" w:rsidR="002D63C1" w:rsidRDefault="002D63C1" w:rsidP="002D63C1">
      <w:pPr>
        <w:pStyle w:val="Textoindependiente"/>
      </w:pPr>
    </w:p>
    <w:p w14:paraId="71575357" w14:textId="3E252292" w:rsidR="002D63C1" w:rsidRDefault="002D63C1" w:rsidP="002D63C1">
      <w:pPr>
        <w:pStyle w:val="Textoindependiente"/>
      </w:pPr>
    </w:p>
    <w:p w14:paraId="31AC1F85" w14:textId="3341FB0C" w:rsidR="002D63C1" w:rsidRDefault="002D63C1" w:rsidP="002D63C1">
      <w:pPr>
        <w:pStyle w:val="Textoindependiente"/>
      </w:pPr>
    </w:p>
    <w:p w14:paraId="0548CB03" w14:textId="54A0E8C9" w:rsidR="002D63C1" w:rsidRDefault="002D63C1" w:rsidP="002D63C1">
      <w:pPr>
        <w:pStyle w:val="Textoindependiente"/>
      </w:pPr>
    </w:p>
    <w:p w14:paraId="3C0F57CA" w14:textId="33A7A205" w:rsidR="002D63C1" w:rsidRDefault="002D63C1" w:rsidP="002D63C1">
      <w:pPr>
        <w:pStyle w:val="Textoindependiente"/>
      </w:pPr>
    </w:p>
    <w:p w14:paraId="40FF7827" w14:textId="23B13DF2" w:rsidR="002D63C1" w:rsidRDefault="002D63C1" w:rsidP="002D63C1">
      <w:pPr>
        <w:pStyle w:val="Textoindependiente"/>
      </w:pPr>
    </w:p>
    <w:p w14:paraId="20E7F43E" w14:textId="315CC61B" w:rsidR="002D63C1" w:rsidRPr="002D63C1" w:rsidRDefault="002D63C1" w:rsidP="002D63C1">
      <w:pPr>
        <w:pStyle w:val="Textoindependiente"/>
      </w:pPr>
    </w:p>
    <w:sectPr w:rsidR="002D63C1" w:rsidRPr="002D63C1" w:rsidSect="007A174E">
      <w:headerReference w:type="default" r:id="rId15"/>
      <w:footerReference w:type="default" r:id="rId16"/>
      <w:headerReference w:type="first" r:id="rId17"/>
      <w:footerReference w:type="first" r:id="rId18"/>
      <w:pgSz w:w="11907" w:h="16839" w:code="9"/>
      <w:pgMar w:top="1387" w:right="850" w:bottom="1440" w:left="1440" w:header="284"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57A18" w14:textId="77777777" w:rsidR="008202D8" w:rsidRDefault="008202D8" w:rsidP="00A24449">
      <w:r>
        <w:separator/>
      </w:r>
    </w:p>
  </w:endnote>
  <w:endnote w:type="continuationSeparator" w:id="0">
    <w:p w14:paraId="29B5B0C7" w14:textId="77777777" w:rsidR="008202D8" w:rsidRDefault="008202D8" w:rsidP="00A2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EBCDB" w14:textId="77777777" w:rsidR="005E2480" w:rsidRDefault="005E2480" w:rsidP="002276FD">
    <w:pPr>
      <w:pStyle w:val="Piedepgina"/>
      <w:ind w:left="-567" w:right="261"/>
    </w:pPr>
  </w:p>
  <w:p w14:paraId="230FF035" w14:textId="169A19D2" w:rsidR="005E2480" w:rsidRPr="00B026C8" w:rsidRDefault="005E2480" w:rsidP="00F85F5F">
    <w:pPr>
      <w:pBdr>
        <w:top w:val="single" w:sz="18" w:space="1" w:color="1F497D"/>
      </w:pBdr>
      <w:spacing w:before="240"/>
      <w:ind w:right="545"/>
      <w:rPr>
        <w:color w:val="00408E"/>
      </w:rPr>
    </w:pPr>
    <w:r>
      <w:rPr>
        <w:color w:val="00408E"/>
        <w:sz w:val="16"/>
        <w:szCs w:val="16"/>
      </w:rPr>
      <w:tab/>
      <w:t xml:space="preserve">                                                                                                                              </w:t>
    </w:r>
    <w:r>
      <w:rPr>
        <w:color w:val="00408E"/>
        <w:sz w:val="16"/>
        <w:szCs w:val="16"/>
      </w:rPr>
      <w:tab/>
    </w:r>
    <w:r>
      <w:rPr>
        <w:color w:val="00408E"/>
        <w:sz w:val="16"/>
        <w:szCs w:val="16"/>
      </w:rPr>
      <w:tab/>
    </w:r>
    <w:r>
      <w:rPr>
        <w:color w:val="00408E"/>
        <w:sz w:val="16"/>
        <w:szCs w:val="16"/>
      </w:rPr>
      <w:tab/>
      <w:t xml:space="preserve">Página </w:t>
    </w:r>
    <w:r w:rsidRPr="00B026C8">
      <w:rPr>
        <w:color w:val="00408E"/>
        <w:sz w:val="16"/>
        <w:szCs w:val="16"/>
      </w:rPr>
      <w:fldChar w:fldCharType="begin"/>
    </w:r>
    <w:r w:rsidRPr="00B026C8">
      <w:rPr>
        <w:color w:val="00408E"/>
        <w:sz w:val="16"/>
        <w:szCs w:val="16"/>
      </w:rPr>
      <w:instrText xml:space="preserve"> PAGE </w:instrText>
    </w:r>
    <w:r w:rsidRPr="00B026C8">
      <w:rPr>
        <w:color w:val="00408E"/>
        <w:sz w:val="16"/>
        <w:szCs w:val="16"/>
      </w:rPr>
      <w:fldChar w:fldCharType="separate"/>
    </w:r>
    <w:r w:rsidR="003526F9">
      <w:rPr>
        <w:noProof/>
        <w:color w:val="00408E"/>
        <w:sz w:val="16"/>
        <w:szCs w:val="16"/>
      </w:rPr>
      <w:t>4</w:t>
    </w:r>
    <w:r w:rsidRPr="00B026C8">
      <w:rPr>
        <w:color w:val="00408E"/>
        <w:sz w:val="16"/>
        <w:szCs w:val="16"/>
      </w:rPr>
      <w:fldChar w:fldCharType="end"/>
    </w:r>
    <w:r>
      <w:rPr>
        <w:color w:val="00408E"/>
        <w:sz w:val="16"/>
        <w:szCs w:val="16"/>
      </w:rPr>
      <w:t xml:space="preserve"> de </w:t>
    </w:r>
    <w:r w:rsidRPr="00B026C8">
      <w:rPr>
        <w:color w:val="00408E"/>
        <w:sz w:val="16"/>
        <w:szCs w:val="16"/>
      </w:rPr>
      <w:fldChar w:fldCharType="begin"/>
    </w:r>
    <w:r w:rsidRPr="00B026C8">
      <w:rPr>
        <w:color w:val="00408E"/>
        <w:sz w:val="16"/>
        <w:szCs w:val="16"/>
      </w:rPr>
      <w:instrText xml:space="preserve"> NUMPAGES  </w:instrText>
    </w:r>
    <w:r w:rsidRPr="00B026C8">
      <w:rPr>
        <w:color w:val="00408E"/>
        <w:sz w:val="16"/>
        <w:szCs w:val="16"/>
      </w:rPr>
      <w:fldChar w:fldCharType="separate"/>
    </w:r>
    <w:r w:rsidR="003526F9">
      <w:rPr>
        <w:noProof/>
        <w:color w:val="00408E"/>
        <w:sz w:val="16"/>
        <w:szCs w:val="16"/>
      </w:rPr>
      <w:t>6</w:t>
    </w:r>
    <w:r w:rsidRPr="00B026C8">
      <w:rPr>
        <w:color w:val="00408E"/>
        <w:sz w:val="16"/>
        <w:szCs w:val="16"/>
      </w:rPr>
      <w:fldChar w:fldCharType="end"/>
    </w:r>
  </w:p>
  <w:p w14:paraId="357EE225" w14:textId="77777777" w:rsidR="005E2480" w:rsidRPr="000C0FD7" w:rsidRDefault="005E2480" w:rsidP="003D7A8D">
    <w:pPr>
      <w:pStyle w:val="Piedepgina"/>
      <w:tabs>
        <w:tab w:val="clear" w:pos="9360"/>
        <w:tab w:val="right" w:pos="8931"/>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DCF7D" w14:textId="77777777" w:rsidR="005E2480" w:rsidRPr="00C2562C" w:rsidRDefault="005E2480" w:rsidP="00740F60">
    <w:pPr>
      <w:pBdr>
        <w:top w:val="single" w:sz="18" w:space="1" w:color="1F497D"/>
      </w:pBdr>
      <w:spacing w:before="240"/>
      <w:ind w:right="544"/>
      <w:rPr>
        <w:color w:val="00408E"/>
        <w:sz w:val="2"/>
        <w:szCs w:val="2"/>
      </w:rPr>
    </w:pPr>
  </w:p>
  <w:p w14:paraId="399DE240" w14:textId="77777777" w:rsidR="005E2480" w:rsidRPr="003526F9" w:rsidRDefault="005E2480" w:rsidP="00740F60">
    <w:pPr>
      <w:pStyle w:val="Sinespaciado"/>
      <w:ind w:right="544"/>
      <w:jc w:val="right"/>
      <w:rPr>
        <w:sz w:val="16"/>
        <w:szCs w:val="16"/>
        <w:lang w:val="en-US"/>
      </w:rPr>
    </w:pPr>
    <w:r w:rsidRPr="003526F9">
      <w:rPr>
        <w:sz w:val="16"/>
        <w:szCs w:val="16"/>
        <w:lang w:val="en-US"/>
      </w:rPr>
      <w:t xml:space="preserve">203 Drummond Street, Carlton VIC 3053 </w:t>
    </w:r>
  </w:p>
  <w:p w14:paraId="78FD8431" w14:textId="77777777" w:rsidR="005E2480" w:rsidRPr="003526F9" w:rsidRDefault="005E2480" w:rsidP="00740F60">
    <w:pPr>
      <w:pStyle w:val="Sinespaciado"/>
      <w:ind w:right="544"/>
      <w:jc w:val="right"/>
      <w:rPr>
        <w:sz w:val="16"/>
        <w:szCs w:val="16"/>
        <w:lang w:val="en-US"/>
      </w:rPr>
    </w:pPr>
    <w:r w:rsidRPr="003526F9">
      <w:rPr>
        <w:sz w:val="16"/>
        <w:szCs w:val="16"/>
        <w:lang w:val="en-US"/>
      </w:rPr>
      <w:t>03 9650 7222</w:t>
    </w:r>
  </w:p>
  <w:p w14:paraId="30C54EED" w14:textId="77777777" w:rsidR="005E2480" w:rsidRPr="003526F9" w:rsidRDefault="005E2480" w:rsidP="00740F60">
    <w:pPr>
      <w:pStyle w:val="Sinespaciado"/>
      <w:ind w:right="544"/>
      <w:jc w:val="right"/>
      <w:rPr>
        <w:sz w:val="16"/>
        <w:szCs w:val="16"/>
        <w:lang w:val="en-US"/>
      </w:rPr>
    </w:pPr>
    <w:r w:rsidRPr="003526F9">
      <w:rPr>
        <w:sz w:val="16"/>
        <w:szCs w:val="16"/>
        <w:lang w:val="en-US"/>
      </w:rPr>
      <w:t xml:space="preserve">www.acig.com.au </w:t>
    </w:r>
  </w:p>
  <w:p w14:paraId="1C71AF25" w14:textId="77777777" w:rsidR="005E2480" w:rsidRPr="003526F9" w:rsidRDefault="005E2480" w:rsidP="003D7A8D">
    <w:pPr>
      <w:pStyle w:val="Piedepgina"/>
      <w:jc w:val="center"/>
      <w:rPr>
        <w:color w:val="00408E"/>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02C12" w14:textId="77777777" w:rsidR="008202D8" w:rsidRDefault="008202D8" w:rsidP="00A24449">
      <w:r>
        <w:separator/>
      </w:r>
    </w:p>
  </w:footnote>
  <w:footnote w:type="continuationSeparator" w:id="0">
    <w:p w14:paraId="5E648E37" w14:textId="77777777" w:rsidR="008202D8" w:rsidRDefault="008202D8" w:rsidP="00A24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BABE2" w14:textId="08CC7B8C" w:rsidR="005E2480" w:rsidRDefault="003526F9" w:rsidP="002276FD">
    <w:pPr>
      <w:pStyle w:val="Encabezado"/>
      <w:tabs>
        <w:tab w:val="clear" w:pos="4680"/>
        <w:tab w:val="clear" w:pos="9360"/>
      </w:tabs>
      <w:ind w:left="7920" w:right="-306" w:firstLine="444"/>
    </w:pPr>
    <w:r>
      <w:rPr>
        <w:noProof/>
        <w:lang w:val="es-AR" w:eastAsia="es-AR"/>
      </w:rPr>
      <mc:AlternateContent>
        <mc:Choice Requires="wps">
          <w:drawing>
            <wp:anchor distT="0" distB="0" distL="114300" distR="114300" simplePos="0" relativeHeight="251657728" behindDoc="1" locked="0" layoutInCell="1" allowOverlap="1" wp14:anchorId="56531041" wp14:editId="252781DC">
              <wp:simplePos x="0" y="0"/>
              <wp:positionH relativeFrom="column">
                <wp:posOffset>4309110</wp:posOffset>
              </wp:positionH>
              <wp:positionV relativeFrom="paragraph">
                <wp:posOffset>217170</wp:posOffset>
              </wp:positionV>
              <wp:extent cx="1562735" cy="297815"/>
              <wp:effectExtent l="0" t="0" r="0"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769CE" w14:textId="77777777" w:rsidR="005E2480" w:rsidRPr="00A12C22" w:rsidRDefault="005E2480" w:rsidP="00CD30A8">
                          <w:pPr>
                            <w:ind w:left="-142"/>
                            <w:rPr>
                              <w:rFonts w:ascii="Arial Narrow" w:hAnsi="Arial Narrow"/>
                              <w:color w:val="C00000"/>
                              <w:sz w:val="32"/>
                              <w:szCs w:val="32"/>
                            </w:rPr>
                          </w:pPr>
                          <w:r>
                            <w:rPr>
                              <w:rFonts w:ascii="Arial Narrow" w:hAnsi="Arial Narrow"/>
                              <w:color w:val="C00000"/>
                              <w:sz w:val="32"/>
                              <w:szCs w:val="32"/>
                            </w:rPr>
                            <w:t>Secretaría del GAC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9.3pt;margin-top:17.1pt;width:123.05pt;height:2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" stroked="f">
              <v:textbox>
                <w:txbxContent>
                  <w:p w14:paraId="437769CE" w14:textId="77777777" w:rsidR="005E2480" w:rsidRPr="00A12C22" w:rsidRDefault="005E2480" w:rsidP="00CD30A8">
                    <w:pPr>
                      <w:ind w:left="-142"/>
                      <w:rPr>
                        <w:rFonts w:ascii="Arial Narrow" w:hAnsi="Arial Narrow"/>
                        <w:color w:val="C00000"/>
                        <w:sz w:val="32"/>
                        <w:szCs w:val="32"/>
                      </w:rPr>
                    </w:pPr>
                    <w:r>
                      <w:rPr>
                        <w:rFonts w:ascii="Arial Narrow" w:hAnsi="Arial Narrow"/>
                        <w:color w:val="C00000"/>
                        <w:sz w:val="32"/>
                        <w:szCs w:val="32"/>
                      </w:rPr>
                      <w:t>Secretaría del GAC</w:t>
                    </w:r>
                  </w:p>
                </w:txbxContent>
              </v:textbox>
            </v:shape>
          </w:pict>
        </mc:Fallback>
      </mc:AlternateContent>
    </w:r>
    <w:r w:rsidR="005E2480">
      <w:rPr>
        <w:noProof/>
        <w:lang w:val="es-AR" w:eastAsia="es-AR"/>
      </w:rPr>
      <w:drawing>
        <wp:inline distT="0" distB="0" distL="0" distR="0" wp14:anchorId="74B5324F" wp14:editId="27AC643B">
          <wp:extent cx="421005" cy="269875"/>
          <wp:effectExtent l="19050" t="0" r="0" b="0"/>
          <wp:docPr id="6" name="Picture 152" descr="acig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cig logo transparent"/>
                  <pic:cNvPicPr>
                    <a:picLocks noChangeAspect="1" noChangeArrowheads="1"/>
                  </pic:cNvPicPr>
                </pic:nvPicPr>
                <pic:blipFill>
                  <a:blip r:embed="rId1"/>
                  <a:srcRect/>
                  <a:stretch>
                    <a:fillRect/>
                  </a:stretch>
                </pic:blipFill>
                <pic:spPr bwMode="auto">
                  <a:xfrm>
                    <a:off x="0" y="0"/>
                    <a:ext cx="421005" cy="269875"/>
                  </a:xfrm>
                  <a:prstGeom prst="rect">
                    <a:avLst/>
                  </a:prstGeom>
                  <a:noFill/>
                  <a:ln w="9525">
                    <a:noFill/>
                    <a:miter lim="800000"/>
                    <a:headEnd/>
                    <a:tailEnd/>
                  </a:ln>
                </pic:spPr>
              </pic:pic>
            </a:graphicData>
          </a:graphic>
        </wp:inline>
      </w:drawing>
    </w:r>
    <w:r w:rsidR="005E2480">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8AD20" w14:textId="77777777" w:rsidR="005E2480" w:rsidRDefault="005E2480" w:rsidP="00C2562C">
    <w:pPr>
      <w:pStyle w:val="Encabezado"/>
      <w:tabs>
        <w:tab w:val="clear" w:pos="9360"/>
      </w:tabs>
      <w:ind w:left="-851"/>
      <w:jc w:val="center"/>
    </w:pPr>
    <w:r>
      <w:rPr>
        <w:noProof/>
        <w:lang w:val="es-AR" w:eastAsia="es-AR"/>
      </w:rPr>
      <w:drawing>
        <wp:inline distT="0" distB="0" distL="0" distR="0" wp14:anchorId="58262EE7" wp14:editId="4BE24B81">
          <wp:extent cx="3049905" cy="789940"/>
          <wp:effectExtent l="19050" t="0" r="0" b="0"/>
          <wp:docPr id="2" name="Picture 2" descr="ACIG logo Lo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IG logo Long transparent"/>
                  <pic:cNvPicPr>
                    <a:picLocks noChangeAspect="1" noChangeArrowheads="1"/>
                  </pic:cNvPicPr>
                </pic:nvPicPr>
                <pic:blipFill>
                  <a:blip r:embed="rId1"/>
                  <a:srcRect/>
                  <a:stretch>
                    <a:fillRect/>
                  </a:stretch>
                </pic:blipFill>
                <pic:spPr bwMode="auto">
                  <a:xfrm>
                    <a:off x="0" y="0"/>
                    <a:ext cx="3049905" cy="789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2B4F4E0"/>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1"/>
    <w:multiLevelType w:val="singleLevel"/>
    <w:tmpl w:val="0428C486"/>
    <w:lvl w:ilvl="0">
      <w:start w:val="1"/>
      <w:numFmt w:val="bullet"/>
      <w:pStyle w:val="Listaconvietas4"/>
      <w:lvlText w:val=""/>
      <w:lvlJc w:val="left"/>
      <w:pPr>
        <w:tabs>
          <w:tab w:val="num" w:pos="1209"/>
        </w:tabs>
        <w:ind w:left="1209" w:hanging="360"/>
      </w:pPr>
      <w:rPr>
        <w:rFonts w:ascii="Symbol" w:hAnsi="Symbol" w:hint="default"/>
      </w:rPr>
    </w:lvl>
  </w:abstractNum>
  <w:abstractNum w:abstractNumId="2">
    <w:nsid w:val="FFFFFF82"/>
    <w:multiLevelType w:val="singleLevel"/>
    <w:tmpl w:val="CB82D0D2"/>
    <w:lvl w:ilvl="0">
      <w:start w:val="1"/>
      <w:numFmt w:val="bullet"/>
      <w:pStyle w:val="Listaconvietas3"/>
      <w:lvlText w:val=""/>
      <w:lvlJc w:val="left"/>
      <w:pPr>
        <w:tabs>
          <w:tab w:val="num" w:pos="926"/>
        </w:tabs>
        <w:ind w:left="926" w:hanging="360"/>
      </w:pPr>
      <w:rPr>
        <w:rFonts w:ascii="Symbol" w:hAnsi="Symbol" w:hint="default"/>
      </w:rPr>
    </w:lvl>
  </w:abstractNum>
  <w:abstractNum w:abstractNumId="3">
    <w:nsid w:val="06580FA1"/>
    <w:multiLevelType w:val="multilevel"/>
    <w:tmpl w:val="6E78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883D08"/>
    <w:multiLevelType w:val="hybridMultilevel"/>
    <w:tmpl w:val="45D0A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137B83"/>
    <w:multiLevelType w:val="hybridMultilevel"/>
    <w:tmpl w:val="3A7040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2C782F"/>
    <w:multiLevelType w:val="hybridMultilevel"/>
    <w:tmpl w:val="F5D44E6A"/>
    <w:lvl w:ilvl="0" w:tplc="0C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5E13E7"/>
    <w:multiLevelType w:val="hybridMultilevel"/>
    <w:tmpl w:val="4D96F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265CDC"/>
    <w:multiLevelType w:val="hybridMultilevel"/>
    <w:tmpl w:val="6EBA7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B22775"/>
    <w:multiLevelType w:val="hybridMultilevel"/>
    <w:tmpl w:val="C03C4B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7E1DCB"/>
    <w:multiLevelType w:val="hybridMultilevel"/>
    <w:tmpl w:val="3B00D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7635FF"/>
    <w:multiLevelType w:val="hybridMultilevel"/>
    <w:tmpl w:val="6456A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E7A6D33"/>
    <w:multiLevelType w:val="hybridMultilevel"/>
    <w:tmpl w:val="22964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B7F5318"/>
    <w:multiLevelType w:val="hybridMultilevel"/>
    <w:tmpl w:val="A88A34A0"/>
    <w:lvl w:ilvl="0" w:tplc="66068FF0">
      <w:start w:val="1"/>
      <w:numFmt w:val="bullet"/>
      <w:pStyle w:val="Listaconvietas2"/>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14">
    <w:nsid w:val="79546BFA"/>
    <w:multiLevelType w:val="hybridMultilevel"/>
    <w:tmpl w:val="490C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750E51"/>
    <w:multiLevelType w:val="hybridMultilevel"/>
    <w:tmpl w:val="B5F873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13"/>
  </w:num>
  <w:num w:numId="5">
    <w:abstractNumId w:val="9"/>
  </w:num>
  <w:num w:numId="6">
    <w:abstractNumId w:val="15"/>
  </w:num>
  <w:num w:numId="7">
    <w:abstractNumId w:val="11"/>
  </w:num>
  <w:num w:numId="8">
    <w:abstractNumId w:val="14"/>
  </w:num>
  <w:num w:numId="9">
    <w:abstractNumId w:val="6"/>
  </w:num>
  <w:num w:numId="10">
    <w:abstractNumId w:val="8"/>
  </w:num>
  <w:num w:numId="11">
    <w:abstractNumId w:val="3"/>
  </w:num>
  <w:num w:numId="12">
    <w:abstractNumId w:val="10"/>
  </w:num>
  <w:num w:numId="13">
    <w:abstractNumId w:val="12"/>
  </w:num>
  <w:num w:numId="14">
    <w:abstractNumId w:val="7"/>
  </w:num>
  <w:num w:numId="15">
    <w:abstractNumId w:val="4"/>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1B6"/>
    <w:rsid w:val="0001582D"/>
    <w:rsid w:val="00017DDB"/>
    <w:rsid w:val="00020EA8"/>
    <w:rsid w:val="00023512"/>
    <w:rsid w:val="0002714F"/>
    <w:rsid w:val="000328A2"/>
    <w:rsid w:val="00076811"/>
    <w:rsid w:val="00083BC8"/>
    <w:rsid w:val="000964B7"/>
    <w:rsid w:val="000B4BF2"/>
    <w:rsid w:val="000C0FD7"/>
    <w:rsid w:val="000C5167"/>
    <w:rsid w:val="000C6B2E"/>
    <w:rsid w:val="00124BEE"/>
    <w:rsid w:val="00127856"/>
    <w:rsid w:val="001577F4"/>
    <w:rsid w:val="0016195D"/>
    <w:rsid w:val="00181EFF"/>
    <w:rsid w:val="001A63D6"/>
    <w:rsid w:val="001A7608"/>
    <w:rsid w:val="001B2ADD"/>
    <w:rsid w:val="001B337F"/>
    <w:rsid w:val="001C3B09"/>
    <w:rsid w:val="001D20DB"/>
    <w:rsid w:val="002110FA"/>
    <w:rsid w:val="00212B75"/>
    <w:rsid w:val="00215C62"/>
    <w:rsid w:val="002276FD"/>
    <w:rsid w:val="00250279"/>
    <w:rsid w:val="00273354"/>
    <w:rsid w:val="002A35B2"/>
    <w:rsid w:val="002C0BDE"/>
    <w:rsid w:val="002D63C1"/>
    <w:rsid w:val="0030182E"/>
    <w:rsid w:val="00327A1A"/>
    <w:rsid w:val="003308BB"/>
    <w:rsid w:val="003401B4"/>
    <w:rsid w:val="003526F9"/>
    <w:rsid w:val="003643C4"/>
    <w:rsid w:val="003644DC"/>
    <w:rsid w:val="00364F2E"/>
    <w:rsid w:val="00373FD7"/>
    <w:rsid w:val="003961C1"/>
    <w:rsid w:val="003D3781"/>
    <w:rsid w:val="003D7A8D"/>
    <w:rsid w:val="003E134F"/>
    <w:rsid w:val="003E540D"/>
    <w:rsid w:val="00400344"/>
    <w:rsid w:val="00406CEE"/>
    <w:rsid w:val="00412A64"/>
    <w:rsid w:val="00416093"/>
    <w:rsid w:val="004256A5"/>
    <w:rsid w:val="00447B91"/>
    <w:rsid w:val="00454CBD"/>
    <w:rsid w:val="00466EC1"/>
    <w:rsid w:val="00482064"/>
    <w:rsid w:val="00482610"/>
    <w:rsid w:val="004837E2"/>
    <w:rsid w:val="00492E56"/>
    <w:rsid w:val="004A58B8"/>
    <w:rsid w:val="004C66BF"/>
    <w:rsid w:val="004D7546"/>
    <w:rsid w:val="004E22C7"/>
    <w:rsid w:val="004E2498"/>
    <w:rsid w:val="0051347B"/>
    <w:rsid w:val="0052213A"/>
    <w:rsid w:val="00570478"/>
    <w:rsid w:val="005736A1"/>
    <w:rsid w:val="00577F86"/>
    <w:rsid w:val="00580A87"/>
    <w:rsid w:val="00593EF7"/>
    <w:rsid w:val="005C169C"/>
    <w:rsid w:val="005E2480"/>
    <w:rsid w:val="005E2917"/>
    <w:rsid w:val="005E361F"/>
    <w:rsid w:val="00624AEC"/>
    <w:rsid w:val="00652018"/>
    <w:rsid w:val="006632C8"/>
    <w:rsid w:val="00671F6E"/>
    <w:rsid w:val="006735F6"/>
    <w:rsid w:val="0067792E"/>
    <w:rsid w:val="00683C6C"/>
    <w:rsid w:val="006C3931"/>
    <w:rsid w:val="006E3E83"/>
    <w:rsid w:val="00700CF9"/>
    <w:rsid w:val="00722431"/>
    <w:rsid w:val="0072423D"/>
    <w:rsid w:val="0072454B"/>
    <w:rsid w:val="00731C3E"/>
    <w:rsid w:val="00734DE5"/>
    <w:rsid w:val="00736DAD"/>
    <w:rsid w:val="00740F60"/>
    <w:rsid w:val="007670C2"/>
    <w:rsid w:val="00767678"/>
    <w:rsid w:val="00790818"/>
    <w:rsid w:val="007A174E"/>
    <w:rsid w:val="007B4236"/>
    <w:rsid w:val="007B5468"/>
    <w:rsid w:val="007C4AA0"/>
    <w:rsid w:val="007D04DE"/>
    <w:rsid w:val="007D32B7"/>
    <w:rsid w:val="007E309B"/>
    <w:rsid w:val="007F31B6"/>
    <w:rsid w:val="00815A76"/>
    <w:rsid w:val="00817EAC"/>
    <w:rsid w:val="008202D8"/>
    <w:rsid w:val="008246F4"/>
    <w:rsid w:val="00827F77"/>
    <w:rsid w:val="00854588"/>
    <w:rsid w:val="008822A3"/>
    <w:rsid w:val="00882354"/>
    <w:rsid w:val="008B2849"/>
    <w:rsid w:val="008C4F95"/>
    <w:rsid w:val="008F3B68"/>
    <w:rsid w:val="009123B6"/>
    <w:rsid w:val="00982B73"/>
    <w:rsid w:val="00984323"/>
    <w:rsid w:val="00984595"/>
    <w:rsid w:val="009876AD"/>
    <w:rsid w:val="0099631A"/>
    <w:rsid w:val="009B375D"/>
    <w:rsid w:val="009C77A8"/>
    <w:rsid w:val="00A07882"/>
    <w:rsid w:val="00A12C22"/>
    <w:rsid w:val="00A13403"/>
    <w:rsid w:val="00A24449"/>
    <w:rsid w:val="00A32E85"/>
    <w:rsid w:val="00A40DB0"/>
    <w:rsid w:val="00A5021B"/>
    <w:rsid w:val="00A660EB"/>
    <w:rsid w:val="00A86B36"/>
    <w:rsid w:val="00A87101"/>
    <w:rsid w:val="00AA0126"/>
    <w:rsid w:val="00AA7441"/>
    <w:rsid w:val="00AB62C3"/>
    <w:rsid w:val="00AC5490"/>
    <w:rsid w:val="00AC54BB"/>
    <w:rsid w:val="00AD1076"/>
    <w:rsid w:val="00AE263F"/>
    <w:rsid w:val="00AF4D4A"/>
    <w:rsid w:val="00B026C8"/>
    <w:rsid w:val="00B21330"/>
    <w:rsid w:val="00B22FE8"/>
    <w:rsid w:val="00B5189A"/>
    <w:rsid w:val="00B653A7"/>
    <w:rsid w:val="00B72177"/>
    <w:rsid w:val="00B72D49"/>
    <w:rsid w:val="00BA0533"/>
    <w:rsid w:val="00BF23E9"/>
    <w:rsid w:val="00C114D4"/>
    <w:rsid w:val="00C1188D"/>
    <w:rsid w:val="00C144AE"/>
    <w:rsid w:val="00C14EF2"/>
    <w:rsid w:val="00C21952"/>
    <w:rsid w:val="00C2562C"/>
    <w:rsid w:val="00C26F6D"/>
    <w:rsid w:val="00C3454E"/>
    <w:rsid w:val="00C50C2C"/>
    <w:rsid w:val="00C70CD9"/>
    <w:rsid w:val="00C908F7"/>
    <w:rsid w:val="00C9701E"/>
    <w:rsid w:val="00CB7A48"/>
    <w:rsid w:val="00CD0375"/>
    <w:rsid w:val="00CD24AC"/>
    <w:rsid w:val="00CD30A8"/>
    <w:rsid w:val="00CD540A"/>
    <w:rsid w:val="00CD57F8"/>
    <w:rsid w:val="00CD7113"/>
    <w:rsid w:val="00CF0606"/>
    <w:rsid w:val="00CF4236"/>
    <w:rsid w:val="00CF4E9A"/>
    <w:rsid w:val="00D01CBD"/>
    <w:rsid w:val="00D049CB"/>
    <w:rsid w:val="00D07C27"/>
    <w:rsid w:val="00D27857"/>
    <w:rsid w:val="00D41280"/>
    <w:rsid w:val="00D5733E"/>
    <w:rsid w:val="00D57B30"/>
    <w:rsid w:val="00D65E34"/>
    <w:rsid w:val="00D86EA8"/>
    <w:rsid w:val="00D93E66"/>
    <w:rsid w:val="00D9442D"/>
    <w:rsid w:val="00DA436F"/>
    <w:rsid w:val="00DA46B6"/>
    <w:rsid w:val="00DC0423"/>
    <w:rsid w:val="00DE2827"/>
    <w:rsid w:val="00DE621B"/>
    <w:rsid w:val="00DE7351"/>
    <w:rsid w:val="00DF5B00"/>
    <w:rsid w:val="00E016F8"/>
    <w:rsid w:val="00E120D2"/>
    <w:rsid w:val="00E21BC1"/>
    <w:rsid w:val="00E3060B"/>
    <w:rsid w:val="00E366DB"/>
    <w:rsid w:val="00E57BDD"/>
    <w:rsid w:val="00E7196B"/>
    <w:rsid w:val="00E81209"/>
    <w:rsid w:val="00E9134A"/>
    <w:rsid w:val="00EA3A02"/>
    <w:rsid w:val="00EA7FAD"/>
    <w:rsid w:val="00EB1CAA"/>
    <w:rsid w:val="00EC2D85"/>
    <w:rsid w:val="00ED40DF"/>
    <w:rsid w:val="00EF5A3C"/>
    <w:rsid w:val="00F153B6"/>
    <w:rsid w:val="00F21D6A"/>
    <w:rsid w:val="00F4462E"/>
    <w:rsid w:val="00F46F4F"/>
    <w:rsid w:val="00F5058B"/>
    <w:rsid w:val="00F65E75"/>
    <w:rsid w:val="00F73DF4"/>
    <w:rsid w:val="00F85F5F"/>
    <w:rsid w:val="00F96D2C"/>
    <w:rsid w:val="00FD20E3"/>
    <w:rsid w:val="00FE741F"/>
    <w:rsid w:val="00FF47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CC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alibri" w:hAnsi="Century Gothic" w:cs="Times New Roman"/>
        <w:lang w:val="es-MX"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A3C"/>
    <w:rPr>
      <w:rFonts w:eastAsiaTheme="minorEastAsia" w:cstheme="minorBidi"/>
      <w:sz w:val="24"/>
      <w:szCs w:val="24"/>
      <w:lang w:eastAsia="en-US"/>
    </w:rPr>
  </w:style>
  <w:style w:type="paragraph" w:styleId="Ttulo1">
    <w:name w:val="heading 1"/>
    <w:next w:val="Textoindependiente"/>
    <w:link w:val="Ttulo1Car"/>
    <w:uiPriority w:val="9"/>
    <w:qFormat/>
    <w:rsid w:val="00CF4E9A"/>
    <w:pPr>
      <w:keepNext/>
      <w:keepLines/>
      <w:pageBreakBefore/>
      <w:pBdr>
        <w:top w:val="single" w:sz="4" w:space="1" w:color="00408E"/>
        <w:bottom w:val="single" w:sz="4" w:space="1" w:color="00408E"/>
      </w:pBdr>
      <w:spacing w:after="200" w:line="276" w:lineRule="auto"/>
      <w:outlineLvl w:val="0"/>
    </w:pPr>
    <w:rPr>
      <w:b/>
      <w:color w:val="00408E"/>
      <w:sz w:val="28"/>
      <w:szCs w:val="28"/>
      <w:lang w:eastAsia="en-US"/>
    </w:rPr>
  </w:style>
  <w:style w:type="paragraph" w:styleId="Ttulo2">
    <w:name w:val="heading 2"/>
    <w:basedOn w:val="Textoindependiente"/>
    <w:next w:val="Textoindependiente"/>
    <w:link w:val="Ttulo2Car"/>
    <w:autoRedefine/>
    <w:uiPriority w:val="9"/>
    <w:unhideWhenUsed/>
    <w:qFormat/>
    <w:rsid w:val="00982B73"/>
    <w:pPr>
      <w:keepNext/>
      <w:keepLines/>
      <w:ind w:right="544"/>
      <w:outlineLvl w:val="1"/>
    </w:pPr>
    <w:rPr>
      <w:b/>
      <w:color w:val="1F4E79" w:themeColor="accent1" w:themeShade="80"/>
      <w:sz w:val="24"/>
      <w:szCs w:val="24"/>
    </w:rPr>
  </w:style>
  <w:style w:type="paragraph" w:styleId="Ttulo3">
    <w:name w:val="heading 3"/>
    <w:basedOn w:val="Textoindependiente"/>
    <w:next w:val="Textoindependiente"/>
    <w:link w:val="Ttulo3Car"/>
    <w:uiPriority w:val="9"/>
    <w:unhideWhenUsed/>
    <w:qFormat/>
    <w:rsid w:val="00CF4E9A"/>
    <w:pPr>
      <w:keepNext/>
      <w:keepLines/>
      <w:jc w:val="left"/>
      <w:outlineLvl w:val="2"/>
    </w:pPr>
    <w:rPr>
      <w:b/>
      <w:color w:val="00408E"/>
    </w:rPr>
  </w:style>
  <w:style w:type="paragraph" w:styleId="Ttulo4">
    <w:name w:val="heading 4"/>
    <w:basedOn w:val="Textoindependiente"/>
    <w:next w:val="Textoindependiente"/>
    <w:link w:val="Ttulo4Car"/>
    <w:uiPriority w:val="9"/>
    <w:unhideWhenUsed/>
    <w:qFormat/>
    <w:rsid w:val="004E22C7"/>
    <w:pPr>
      <w:keepNext/>
      <w:keepLines/>
      <w:jc w:val="left"/>
      <w:outlineLvl w:val="3"/>
    </w:pPr>
    <w:rPr>
      <w:color w:val="00408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82B73"/>
    <w:rPr>
      <w:b/>
      <w:color w:val="1F4E79" w:themeColor="accent1" w:themeShade="80"/>
      <w:sz w:val="24"/>
      <w:szCs w:val="24"/>
      <w:lang w:eastAsia="en-US"/>
    </w:rPr>
  </w:style>
  <w:style w:type="paragraph" w:styleId="TDC1">
    <w:name w:val="toc 1"/>
    <w:basedOn w:val="Normal"/>
    <w:next w:val="Normal"/>
    <w:uiPriority w:val="39"/>
    <w:rsid w:val="009123B6"/>
    <w:pPr>
      <w:widowControl w:val="0"/>
      <w:tabs>
        <w:tab w:val="left" w:leader="dot" w:pos="7938"/>
      </w:tabs>
      <w:suppressAutoHyphens/>
      <w:spacing w:before="240" w:after="300"/>
      <w:ind w:left="1134" w:hanging="567"/>
      <w:jc w:val="both"/>
    </w:pPr>
    <w:rPr>
      <w:b/>
      <w:bCs/>
      <w:sz w:val="28"/>
    </w:rPr>
  </w:style>
  <w:style w:type="paragraph" w:styleId="Encabezado">
    <w:name w:val="header"/>
    <w:basedOn w:val="Textoindependiente"/>
    <w:link w:val="EncabezadoCar"/>
    <w:uiPriority w:val="99"/>
    <w:unhideWhenUsed/>
    <w:rsid w:val="00A24449"/>
    <w:pPr>
      <w:tabs>
        <w:tab w:val="center" w:pos="4680"/>
        <w:tab w:val="right" w:pos="9360"/>
      </w:tabs>
    </w:pPr>
  </w:style>
  <w:style w:type="character" w:customStyle="1" w:styleId="EncabezadoCar">
    <w:name w:val="Encabezado Car"/>
    <w:basedOn w:val="Fuentedeprrafopredeter"/>
    <w:link w:val="Encabezado"/>
    <w:uiPriority w:val="99"/>
    <w:rsid w:val="00AD1076"/>
    <w:rPr>
      <w:rFonts w:ascii="Century Gothic" w:hAnsi="Century Gothic"/>
      <w:szCs w:val="22"/>
      <w:lang w:val="es-MX"/>
    </w:rPr>
  </w:style>
  <w:style w:type="paragraph" w:styleId="Piedepgina">
    <w:name w:val="footer"/>
    <w:basedOn w:val="Normal"/>
    <w:link w:val="PiedepginaCar"/>
    <w:uiPriority w:val="99"/>
    <w:unhideWhenUsed/>
    <w:rsid w:val="00A24449"/>
    <w:pPr>
      <w:tabs>
        <w:tab w:val="center" w:pos="4680"/>
        <w:tab w:val="right" w:pos="9360"/>
      </w:tabs>
      <w:spacing w:after="200" w:line="276" w:lineRule="auto"/>
      <w:jc w:val="both"/>
    </w:pPr>
    <w:rPr>
      <w:rFonts w:eastAsia="Calibri"/>
      <w:sz w:val="20"/>
      <w:szCs w:val="22"/>
    </w:rPr>
  </w:style>
  <w:style w:type="character" w:customStyle="1" w:styleId="PiedepginaCar">
    <w:name w:val="Pie de página Car"/>
    <w:basedOn w:val="Fuentedeprrafopredeter"/>
    <w:link w:val="Piedepgina"/>
    <w:uiPriority w:val="99"/>
    <w:rsid w:val="00A24449"/>
    <w:rPr>
      <w:rFonts w:ascii="Century Gothic" w:hAnsi="Century Gothic"/>
      <w:szCs w:val="22"/>
      <w:lang w:val="es-MX"/>
    </w:rPr>
  </w:style>
  <w:style w:type="character" w:customStyle="1" w:styleId="Ttulo1Car">
    <w:name w:val="Título 1 Car"/>
    <w:basedOn w:val="Fuentedeprrafopredeter"/>
    <w:link w:val="Ttulo1"/>
    <w:uiPriority w:val="9"/>
    <w:rsid w:val="00CF4E9A"/>
    <w:rPr>
      <w:b/>
      <w:color w:val="00408E"/>
      <w:sz w:val="28"/>
      <w:szCs w:val="28"/>
      <w:lang w:val="es-MX" w:eastAsia="en-US" w:bidi="ar-SA"/>
    </w:rPr>
  </w:style>
  <w:style w:type="paragraph" w:styleId="Ttulo">
    <w:name w:val="Title"/>
    <w:basedOn w:val="Textoindependiente"/>
    <w:next w:val="Textoindependiente"/>
    <w:link w:val="TtuloCar"/>
    <w:autoRedefine/>
    <w:uiPriority w:val="10"/>
    <w:qFormat/>
    <w:rsid w:val="00A86B36"/>
    <w:pPr>
      <w:spacing w:before="240" w:after="60"/>
      <w:jc w:val="center"/>
      <w:outlineLvl w:val="0"/>
    </w:pPr>
    <w:rPr>
      <w:rFonts w:eastAsia="Times New Roman"/>
      <w:b/>
      <w:bCs/>
      <w:color w:val="00408E"/>
      <w:kern w:val="28"/>
      <w:sz w:val="48"/>
      <w:szCs w:val="48"/>
    </w:rPr>
  </w:style>
  <w:style w:type="paragraph" w:styleId="Textoindependiente">
    <w:name w:val="Body Text"/>
    <w:link w:val="TextoindependienteCar"/>
    <w:uiPriority w:val="99"/>
    <w:unhideWhenUsed/>
    <w:qFormat/>
    <w:rsid w:val="004E22C7"/>
    <w:pPr>
      <w:spacing w:after="200" w:line="276" w:lineRule="auto"/>
      <w:jc w:val="both"/>
    </w:pPr>
    <w:rPr>
      <w:szCs w:val="22"/>
      <w:lang w:eastAsia="en-US"/>
    </w:rPr>
  </w:style>
  <w:style w:type="character" w:customStyle="1" w:styleId="TextoindependienteCar">
    <w:name w:val="Texto independiente Car"/>
    <w:basedOn w:val="Fuentedeprrafopredeter"/>
    <w:link w:val="Textoindependiente"/>
    <w:uiPriority w:val="99"/>
    <w:rsid w:val="004E22C7"/>
    <w:rPr>
      <w:szCs w:val="22"/>
      <w:lang w:val="es-MX" w:eastAsia="en-US" w:bidi="ar-SA"/>
    </w:rPr>
  </w:style>
  <w:style w:type="character" w:customStyle="1" w:styleId="TtuloCar">
    <w:name w:val="Título Car"/>
    <w:basedOn w:val="Fuentedeprrafopredeter"/>
    <w:link w:val="Ttulo"/>
    <w:uiPriority w:val="10"/>
    <w:rsid w:val="00A86B36"/>
    <w:rPr>
      <w:rFonts w:eastAsia="Times New Roman"/>
      <w:b/>
      <w:bCs/>
      <w:color w:val="00408E"/>
      <w:kern w:val="28"/>
      <w:sz w:val="48"/>
      <w:szCs w:val="48"/>
      <w:lang w:val="es-MX"/>
    </w:rPr>
  </w:style>
  <w:style w:type="character" w:styleId="Hipervnculo">
    <w:name w:val="Hyperlink"/>
    <w:basedOn w:val="Fuentedeprrafopredeter"/>
    <w:uiPriority w:val="99"/>
    <w:unhideWhenUsed/>
    <w:rsid w:val="0072423D"/>
    <w:rPr>
      <w:color w:val="0000FF"/>
      <w:u w:val="single"/>
    </w:rPr>
  </w:style>
  <w:style w:type="character" w:customStyle="1" w:styleId="Ttulo3Car">
    <w:name w:val="Título 3 Car"/>
    <w:basedOn w:val="Fuentedeprrafopredeter"/>
    <w:link w:val="Ttulo3"/>
    <w:uiPriority w:val="9"/>
    <w:rsid w:val="00CF4E9A"/>
    <w:rPr>
      <w:b/>
      <w:color w:val="00408E"/>
      <w:szCs w:val="22"/>
      <w:lang w:val="es-MX"/>
    </w:rPr>
  </w:style>
  <w:style w:type="character" w:customStyle="1" w:styleId="Ttulo4Car">
    <w:name w:val="Título 4 Car"/>
    <w:basedOn w:val="Fuentedeprrafopredeter"/>
    <w:link w:val="Ttulo4"/>
    <w:uiPriority w:val="9"/>
    <w:rsid w:val="004E22C7"/>
    <w:rPr>
      <w:color w:val="00408E"/>
      <w:szCs w:val="22"/>
      <w:lang w:val="es-MX"/>
    </w:rPr>
  </w:style>
  <w:style w:type="paragraph" w:styleId="Listaconvietas">
    <w:name w:val="List Bullet"/>
    <w:basedOn w:val="Listaconvietas5"/>
    <w:uiPriority w:val="99"/>
    <w:unhideWhenUsed/>
    <w:qFormat/>
    <w:rsid w:val="004837E2"/>
    <w:pPr>
      <w:tabs>
        <w:tab w:val="num" w:pos="644"/>
      </w:tabs>
      <w:ind w:left="641" w:hanging="357"/>
      <w:contextualSpacing w:val="0"/>
    </w:pPr>
  </w:style>
  <w:style w:type="paragraph" w:styleId="Listaconvietas2">
    <w:name w:val="List Bullet 2"/>
    <w:basedOn w:val="Listaconvietas"/>
    <w:uiPriority w:val="99"/>
    <w:unhideWhenUsed/>
    <w:rsid w:val="008C4F95"/>
    <w:pPr>
      <w:numPr>
        <w:numId w:val="4"/>
      </w:numPr>
      <w:tabs>
        <w:tab w:val="num" w:pos="1492"/>
      </w:tabs>
      <w:ind w:left="993"/>
    </w:pPr>
  </w:style>
  <w:style w:type="paragraph" w:styleId="Continuarlista">
    <w:name w:val="List Continue"/>
    <w:basedOn w:val="Normal"/>
    <w:uiPriority w:val="99"/>
    <w:unhideWhenUsed/>
    <w:rsid w:val="003961C1"/>
    <w:pPr>
      <w:spacing w:line="276" w:lineRule="auto"/>
      <w:ind w:left="283"/>
      <w:contextualSpacing/>
      <w:jc w:val="both"/>
    </w:pPr>
    <w:rPr>
      <w:rFonts w:eastAsia="Calibri"/>
      <w:sz w:val="20"/>
      <w:szCs w:val="22"/>
    </w:rPr>
  </w:style>
  <w:style w:type="paragraph" w:styleId="Listaconvietas3">
    <w:name w:val="List Bullet 3"/>
    <w:basedOn w:val="Normal"/>
    <w:uiPriority w:val="99"/>
    <w:unhideWhenUsed/>
    <w:rsid w:val="003961C1"/>
    <w:pPr>
      <w:numPr>
        <w:numId w:val="1"/>
      </w:numPr>
      <w:spacing w:after="200" w:line="276" w:lineRule="auto"/>
      <w:contextualSpacing/>
      <w:jc w:val="both"/>
    </w:pPr>
    <w:rPr>
      <w:rFonts w:eastAsia="Calibri"/>
      <w:sz w:val="20"/>
      <w:szCs w:val="22"/>
    </w:rPr>
  </w:style>
  <w:style w:type="paragraph" w:styleId="Listaconvietas4">
    <w:name w:val="List Bullet 4"/>
    <w:basedOn w:val="Normal"/>
    <w:uiPriority w:val="99"/>
    <w:unhideWhenUsed/>
    <w:rsid w:val="003961C1"/>
    <w:pPr>
      <w:numPr>
        <w:numId w:val="2"/>
      </w:numPr>
      <w:spacing w:after="200" w:line="276" w:lineRule="auto"/>
      <w:contextualSpacing/>
      <w:jc w:val="both"/>
    </w:pPr>
    <w:rPr>
      <w:rFonts w:eastAsia="Calibri"/>
      <w:sz w:val="20"/>
      <w:szCs w:val="22"/>
    </w:rPr>
  </w:style>
  <w:style w:type="paragraph" w:styleId="Listaconvietas5">
    <w:name w:val="List Bullet 5"/>
    <w:basedOn w:val="Normal"/>
    <w:uiPriority w:val="99"/>
    <w:unhideWhenUsed/>
    <w:rsid w:val="003961C1"/>
    <w:pPr>
      <w:numPr>
        <w:numId w:val="3"/>
      </w:numPr>
      <w:spacing w:after="200" w:line="276" w:lineRule="auto"/>
      <w:contextualSpacing/>
      <w:jc w:val="both"/>
    </w:pPr>
    <w:rPr>
      <w:rFonts w:eastAsia="Calibri"/>
      <w:sz w:val="20"/>
      <w:szCs w:val="22"/>
    </w:rPr>
  </w:style>
  <w:style w:type="paragraph" w:styleId="Prrafodelista">
    <w:name w:val="List Paragraph"/>
    <w:basedOn w:val="Normal"/>
    <w:uiPriority w:val="34"/>
    <w:qFormat/>
    <w:rsid w:val="00C26F6D"/>
    <w:pPr>
      <w:spacing w:after="200" w:line="276" w:lineRule="auto"/>
      <w:ind w:left="720"/>
      <w:jc w:val="both"/>
    </w:pPr>
    <w:rPr>
      <w:rFonts w:eastAsia="Calibri"/>
      <w:sz w:val="20"/>
      <w:szCs w:val="22"/>
    </w:rPr>
  </w:style>
  <w:style w:type="paragraph" w:styleId="Encabezadodelista">
    <w:name w:val="toa heading"/>
    <w:basedOn w:val="Ttulo1"/>
    <w:next w:val="Normal"/>
    <w:uiPriority w:val="99"/>
    <w:unhideWhenUsed/>
    <w:rsid w:val="000C5167"/>
    <w:pPr>
      <w:spacing w:after="400"/>
    </w:pPr>
  </w:style>
  <w:style w:type="table" w:styleId="Tablaconcuadrcula">
    <w:name w:val="Table Grid"/>
    <w:basedOn w:val="Tablanormal"/>
    <w:uiPriority w:val="59"/>
    <w:rsid w:val="003643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anormal"/>
    <w:uiPriority w:val="60"/>
    <w:rsid w:val="00017D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anormal"/>
    <w:uiPriority w:val="60"/>
    <w:rsid w:val="00017D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3">
    <w:name w:val="Light Shading Accent 3"/>
    <w:basedOn w:val="Tablanormal"/>
    <w:uiPriority w:val="60"/>
    <w:rsid w:val="00017D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5">
    <w:name w:val="Light Shading Accent 5"/>
    <w:basedOn w:val="Tablanormal"/>
    <w:uiPriority w:val="60"/>
    <w:rsid w:val="00017D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anormal"/>
    <w:uiPriority w:val="61"/>
    <w:rsid w:val="00017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Normal"/>
    <w:rsid w:val="003401B4"/>
    <w:pPr>
      <w:spacing w:before="60" w:after="60"/>
      <w:ind w:left="28" w:right="28"/>
    </w:pPr>
    <w:rPr>
      <w:sz w:val="18"/>
    </w:rPr>
  </w:style>
  <w:style w:type="paragraph" w:styleId="Sinespaciado">
    <w:name w:val="No Spacing"/>
    <w:uiPriority w:val="1"/>
    <w:qFormat/>
    <w:rsid w:val="00C2562C"/>
    <w:pPr>
      <w:jc w:val="both"/>
    </w:pPr>
    <w:rPr>
      <w:szCs w:val="22"/>
      <w:lang w:eastAsia="en-US"/>
    </w:rPr>
  </w:style>
  <w:style w:type="paragraph" w:styleId="Textonotapie">
    <w:name w:val="footnote text"/>
    <w:basedOn w:val="Normal"/>
    <w:link w:val="TextonotapieCar"/>
    <w:uiPriority w:val="99"/>
    <w:unhideWhenUsed/>
    <w:rsid w:val="00406CEE"/>
  </w:style>
  <w:style w:type="character" w:customStyle="1" w:styleId="TextonotapieCar">
    <w:name w:val="Texto nota pie Car"/>
    <w:basedOn w:val="Fuentedeprrafopredeter"/>
    <w:link w:val="Textonotapie"/>
    <w:uiPriority w:val="99"/>
    <w:rsid w:val="00406CEE"/>
    <w:rPr>
      <w:rFonts w:ascii="Calibri" w:eastAsia="Times New Roman" w:hAnsi="Calibri" w:cs="Times New Roman"/>
      <w:sz w:val="24"/>
      <w:szCs w:val="24"/>
    </w:rPr>
  </w:style>
  <w:style w:type="character" w:styleId="Refdenotaalpie">
    <w:name w:val="footnote reference"/>
    <w:basedOn w:val="Fuentedeprrafopredeter"/>
    <w:uiPriority w:val="99"/>
    <w:unhideWhenUsed/>
    <w:rsid w:val="00406CEE"/>
    <w:rPr>
      <w:vertAlign w:val="superscript"/>
    </w:rPr>
  </w:style>
  <w:style w:type="paragraph" w:styleId="Textodeglobo">
    <w:name w:val="Balloon Text"/>
    <w:basedOn w:val="Normal"/>
    <w:link w:val="TextodegloboCar"/>
    <w:uiPriority w:val="99"/>
    <w:semiHidden/>
    <w:unhideWhenUsed/>
    <w:rsid w:val="00406CEE"/>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CEE"/>
    <w:rPr>
      <w:rFonts w:ascii="Tahoma" w:eastAsia="Times New Roman" w:hAnsi="Tahoma" w:cs="Tahoma"/>
      <w:sz w:val="16"/>
      <w:szCs w:val="16"/>
    </w:rPr>
  </w:style>
  <w:style w:type="character" w:customStyle="1" w:styleId="apple-converted-space">
    <w:name w:val="apple-converted-space"/>
    <w:basedOn w:val="Fuentedeprrafopredeter"/>
    <w:rsid w:val="00EF5A3C"/>
  </w:style>
  <w:style w:type="character" w:styleId="Textoennegrita">
    <w:name w:val="Strong"/>
    <w:basedOn w:val="Fuentedeprrafopredeter"/>
    <w:uiPriority w:val="22"/>
    <w:qFormat/>
    <w:rsid w:val="00EF5A3C"/>
    <w:rPr>
      <w:b/>
      <w:bCs/>
    </w:rPr>
  </w:style>
  <w:style w:type="character" w:styleId="Hipervnculovisitado">
    <w:name w:val="FollowedHyperlink"/>
    <w:basedOn w:val="Fuentedeprrafopredeter"/>
    <w:uiPriority w:val="99"/>
    <w:semiHidden/>
    <w:unhideWhenUsed/>
    <w:rsid w:val="00EF5A3C"/>
    <w:rPr>
      <w:color w:val="954F72" w:themeColor="followedHyperlink"/>
      <w:u w:val="single"/>
    </w:rPr>
  </w:style>
  <w:style w:type="paragraph" w:styleId="HTMLconformatoprevio">
    <w:name w:val="HTML Preformatted"/>
    <w:basedOn w:val="Normal"/>
    <w:link w:val="HTMLconformatoprevioCar"/>
    <w:uiPriority w:val="99"/>
    <w:semiHidden/>
    <w:unhideWhenUsed/>
    <w:rsid w:val="0076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rPr>
  </w:style>
  <w:style w:type="character" w:customStyle="1" w:styleId="HTMLconformatoprevioCar">
    <w:name w:val="HTML con formato previo Car"/>
    <w:basedOn w:val="Fuentedeprrafopredeter"/>
    <w:link w:val="HTMLconformatoprevio"/>
    <w:uiPriority w:val="99"/>
    <w:semiHidden/>
    <w:rsid w:val="00767678"/>
    <w:rPr>
      <w:rFonts w:ascii="Courier" w:hAnsi="Courier" w:cs="Courier"/>
      <w:lang w:eastAsia="en-US"/>
    </w:rPr>
  </w:style>
  <w:style w:type="character" w:customStyle="1" w:styleId="UnresolvedMention">
    <w:name w:val="Unresolved Mention"/>
    <w:basedOn w:val="Fuentedeprrafopredeter"/>
    <w:uiPriority w:val="99"/>
    <w:semiHidden/>
    <w:unhideWhenUsed/>
    <w:rsid w:val="00C14EF2"/>
    <w:rPr>
      <w:color w:val="808080"/>
      <w:shd w:val="clear" w:color="auto" w:fill="E6E6E6"/>
    </w:rPr>
  </w:style>
  <w:style w:type="paragraph" w:customStyle="1" w:styleId="p1">
    <w:name w:val="p1"/>
    <w:basedOn w:val="Normal"/>
    <w:rsid w:val="002D63C1"/>
    <w:rPr>
      <w:rFonts w:ascii="Calibri" w:hAnsi="Calibri" w:cs="Times New Roman"/>
      <w:sz w:val="17"/>
      <w:szCs w:val="17"/>
    </w:rPr>
  </w:style>
  <w:style w:type="paragraph" w:customStyle="1" w:styleId="LightList-Accent51">
    <w:name w:val="Light List - Accent 51"/>
    <w:basedOn w:val="Normal"/>
    <w:uiPriority w:val="34"/>
    <w:qFormat/>
    <w:rsid w:val="002D63C1"/>
    <w:pPr>
      <w:ind w:left="720"/>
      <w:contextualSpacing/>
    </w:pPr>
    <w:rPr>
      <w:rFonts w:ascii="Cambria" w:eastAsia="Cambria" w:hAnsi="Cambria" w:cs="Times New Roman"/>
    </w:rPr>
  </w:style>
  <w:style w:type="paragraph" w:styleId="NormalWeb">
    <w:name w:val="Normal (Web)"/>
    <w:basedOn w:val="Normal"/>
    <w:uiPriority w:val="99"/>
    <w:unhideWhenUsed/>
    <w:rsid w:val="002D63C1"/>
    <w:pPr>
      <w:spacing w:before="100" w:beforeAutospacing="1" w:after="100" w:afterAutospacing="1"/>
    </w:pPr>
    <w:rPr>
      <w:rFonts w:ascii="Times New Roman" w:eastAsiaTheme="minorHAnsi" w:hAnsi="Times New Roman" w:cs="Times New Roman"/>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alibri" w:hAnsi="Century Gothic" w:cs="Times New Roman"/>
        <w:lang w:val="es-MX"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A3C"/>
    <w:rPr>
      <w:rFonts w:eastAsiaTheme="minorEastAsia" w:cstheme="minorBidi"/>
      <w:sz w:val="24"/>
      <w:szCs w:val="24"/>
      <w:lang w:eastAsia="en-US"/>
    </w:rPr>
  </w:style>
  <w:style w:type="paragraph" w:styleId="Ttulo1">
    <w:name w:val="heading 1"/>
    <w:next w:val="Textoindependiente"/>
    <w:link w:val="Ttulo1Car"/>
    <w:uiPriority w:val="9"/>
    <w:qFormat/>
    <w:rsid w:val="00CF4E9A"/>
    <w:pPr>
      <w:keepNext/>
      <w:keepLines/>
      <w:pageBreakBefore/>
      <w:pBdr>
        <w:top w:val="single" w:sz="4" w:space="1" w:color="00408E"/>
        <w:bottom w:val="single" w:sz="4" w:space="1" w:color="00408E"/>
      </w:pBdr>
      <w:spacing w:after="200" w:line="276" w:lineRule="auto"/>
      <w:outlineLvl w:val="0"/>
    </w:pPr>
    <w:rPr>
      <w:b/>
      <w:color w:val="00408E"/>
      <w:sz w:val="28"/>
      <w:szCs w:val="28"/>
      <w:lang w:eastAsia="en-US"/>
    </w:rPr>
  </w:style>
  <w:style w:type="paragraph" w:styleId="Ttulo2">
    <w:name w:val="heading 2"/>
    <w:basedOn w:val="Textoindependiente"/>
    <w:next w:val="Textoindependiente"/>
    <w:link w:val="Ttulo2Car"/>
    <w:autoRedefine/>
    <w:uiPriority w:val="9"/>
    <w:unhideWhenUsed/>
    <w:qFormat/>
    <w:rsid w:val="00982B73"/>
    <w:pPr>
      <w:keepNext/>
      <w:keepLines/>
      <w:ind w:right="544"/>
      <w:outlineLvl w:val="1"/>
    </w:pPr>
    <w:rPr>
      <w:b/>
      <w:color w:val="1F4E79" w:themeColor="accent1" w:themeShade="80"/>
      <w:sz w:val="24"/>
      <w:szCs w:val="24"/>
    </w:rPr>
  </w:style>
  <w:style w:type="paragraph" w:styleId="Ttulo3">
    <w:name w:val="heading 3"/>
    <w:basedOn w:val="Textoindependiente"/>
    <w:next w:val="Textoindependiente"/>
    <w:link w:val="Ttulo3Car"/>
    <w:uiPriority w:val="9"/>
    <w:unhideWhenUsed/>
    <w:qFormat/>
    <w:rsid w:val="00CF4E9A"/>
    <w:pPr>
      <w:keepNext/>
      <w:keepLines/>
      <w:jc w:val="left"/>
      <w:outlineLvl w:val="2"/>
    </w:pPr>
    <w:rPr>
      <w:b/>
      <w:color w:val="00408E"/>
    </w:rPr>
  </w:style>
  <w:style w:type="paragraph" w:styleId="Ttulo4">
    <w:name w:val="heading 4"/>
    <w:basedOn w:val="Textoindependiente"/>
    <w:next w:val="Textoindependiente"/>
    <w:link w:val="Ttulo4Car"/>
    <w:uiPriority w:val="9"/>
    <w:unhideWhenUsed/>
    <w:qFormat/>
    <w:rsid w:val="004E22C7"/>
    <w:pPr>
      <w:keepNext/>
      <w:keepLines/>
      <w:jc w:val="left"/>
      <w:outlineLvl w:val="3"/>
    </w:pPr>
    <w:rPr>
      <w:color w:val="00408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82B73"/>
    <w:rPr>
      <w:b/>
      <w:color w:val="1F4E79" w:themeColor="accent1" w:themeShade="80"/>
      <w:sz w:val="24"/>
      <w:szCs w:val="24"/>
      <w:lang w:eastAsia="en-US"/>
    </w:rPr>
  </w:style>
  <w:style w:type="paragraph" w:styleId="TDC1">
    <w:name w:val="toc 1"/>
    <w:basedOn w:val="Normal"/>
    <w:next w:val="Normal"/>
    <w:uiPriority w:val="39"/>
    <w:rsid w:val="009123B6"/>
    <w:pPr>
      <w:widowControl w:val="0"/>
      <w:tabs>
        <w:tab w:val="left" w:leader="dot" w:pos="7938"/>
      </w:tabs>
      <w:suppressAutoHyphens/>
      <w:spacing w:before="240" w:after="300"/>
      <w:ind w:left="1134" w:hanging="567"/>
      <w:jc w:val="both"/>
    </w:pPr>
    <w:rPr>
      <w:b/>
      <w:bCs/>
      <w:sz w:val="28"/>
    </w:rPr>
  </w:style>
  <w:style w:type="paragraph" w:styleId="Encabezado">
    <w:name w:val="header"/>
    <w:basedOn w:val="Textoindependiente"/>
    <w:link w:val="EncabezadoCar"/>
    <w:uiPriority w:val="99"/>
    <w:unhideWhenUsed/>
    <w:rsid w:val="00A24449"/>
    <w:pPr>
      <w:tabs>
        <w:tab w:val="center" w:pos="4680"/>
        <w:tab w:val="right" w:pos="9360"/>
      </w:tabs>
    </w:pPr>
  </w:style>
  <w:style w:type="character" w:customStyle="1" w:styleId="EncabezadoCar">
    <w:name w:val="Encabezado Car"/>
    <w:basedOn w:val="Fuentedeprrafopredeter"/>
    <w:link w:val="Encabezado"/>
    <w:uiPriority w:val="99"/>
    <w:rsid w:val="00AD1076"/>
    <w:rPr>
      <w:rFonts w:ascii="Century Gothic" w:hAnsi="Century Gothic"/>
      <w:szCs w:val="22"/>
      <w:lang w:val="es-MX"/>
    </w:rPr>
  </w:style>
  <w:style w:type="paragraph" w:styleId="Piedepgina">
    <w:name w:val="footer"/>
    <w:basedOn w:val="Normal"/>
    <w:link w:val="PiedepginaCar"/>
    <w:uiPriority w:val="99"/>
    <w:unhideWhenUsed/>
    <w:rsid w:val="00A24449"/>
    <w:pPr>
      <w:tabs>
        <w:tab w:val="center" w:pos="4680"/>
        <w:tab w:val="right" w:pos="9360"/>
      </w:tabs>
      <w:spacing w:after="200" w:line="276" w:lineRule="auto"/>
      <w:jc w:val="both"/>
    </w:pPr>
    <w:rPr>
      <w:rFonts w:eastAsia="Calibri"/>
      <w:sz w:val="20"/>
      <w:szCs w:val="22"/>
    </w:rPr>
  </w:style>
  <w:style w:type="character" w:customStyle="1" w:styleId="PiedepginaCar">
    <w:name w:val="Pie de página Car"/>
    <w:basedOn w:val="Fuentedeprrafopredeter"/>
    <w:link w:val="Piedepgina"/>
    <w:uiPriority w:val="99"/>
    <w:rsid w:val="00A24449"/>
    <w:rPr>
      <w:rFonts w:ascii="Century Gothic" w:hAnsi="Century Gothic"/>
      <w:szCs w:val="22"/>
      <w:lang w:val="es-MX"/>
    </w:rPr>
  </w:style>
  <w:style w:type="character" w:customStyle="1" w:styleId="Ttulo1Car">
    <w:name w:val="Título 1 Car"/>
    <w:basedOn w:val="Fuentedeprrafopredeter"/>
    <w:link w:val="Ttulo1"/>
    <w:uiPriority w:val="9"/>
    <w:rsid w:val="00CF4E9A"/>
    <w:rPr>
      <w:b/>
      <w:color w:val="00408E"/>
      <w:sz w:val="28"/>
      <w:szCs w:val="28"/>
      <w:lang w:val="es-MX" w:eastAsia="en-US" w:bidi="ar-SA"/>
    </w:rPr>
  </w:style>
  <w:style w:type="paragraph" w:styleId="Ttulo">
    <w:name w:val="Title"/>
    <w:basedOn w:val="Textoindependiente"/>
    <w:next w:val="Textoindependiente"/>
    <w:link w:val="TtuloCar"/>
    <w:autoRedefine/>
    <w:uiPriority w:val="10"/>
    <w:qFormat/>
    <w:rsid w:val="00A86B36"/>
    <w:pPr>
      <w:spacing w:before="240" w:after="60"/>
      <w:jc w:val="center"/>
      <w:outlineLvl w:val="0"/>
    </w:pPr>
    <w:rPr>
      <w:rFonts w:eastAsia="Times New Roman"/>
      <w:b/>
      <w:bCs/>
      <w:color w:val="00408E"/>
      <w:kern w:val="28"/>
      <w:sz w:val="48"/>
      <w:szCs w:val="48"/>
    </w:rPr>
  </w:style>
  <w:style w:type="paragraph" w:styleId="Textoindependiente">
    <w:name w:val="Body Text"/>
    <w:link w:val="TextoindependienteCar"/>
    <w:uiPriority w:val="99"/>
    <w:unhideWhenUsed/>
    <w:qFormat/>
    <w:rsid w:val="004E22C7"/>
    <w:pPr>
      <w:spacing w:after="200" w:line="276" w:lineRule="auto"/>
      <w:jc w:val="both"/>
    </w:pPr>
    <w:rPr>
      <w:szCs w:val="22"/>
      <w:lang w:eastAsia="en-US"/>
    </w:rPr>
  </w:style>
  <w:style w:type="character" w:customStyle="1" w:styleId="TextoindependienteCar">
    <w:name w:val="Texto independiente Car"/>
    <w:basedOn w:val="Fuentedeprrafopredeter"/>
    <w:link w:val="Textoindependiente"/>
    <w:uiPriority w:val="99"/>
    <w:rsid w:val="004E22C7"/>
    <w:rPr>
      <w:szCs w:val="22"/>
      <w:lang w:val="es-MX" w:eastAsia="en-US" w:bidi="ar-SA"/>
    </w:rPr>
  </w:style>
  <w:style w:type="character" w:customStyle="1" w:styleId="TtuloCar">
    <w:name w:val="Título Car"/>
    <w:basedOn w:val="Fuentedeprrafopredeter"/>
    <w:link w:val="Ttulo"/>
    <w:uiPriority w:val="10"/>
    <w:rsid w:val="00A86B36"/>
    <w:rPr>
      <w:rFonts w:eastAsia="Times New Roman"/>
      <w:b/>
      <w:bCs/>
      <w:color w:val="00408E"/>
      <w:kern w:val="28"/>
      <w:sz w:val="48"/>
      <w:szCs w:val="48"/>
      <w:lang w:val="es-MX"/>
    </w:rPr>
  </w:style>
  <w:style w:type="character" w:styleId="Hipervnculo">
    <w:name w:val="Hyperlink"/>
    <w:basedOn w:val="Fuentedeprrafopredeter"/>
    <w:uiPriority w:val="99"/>
    <w:unhideWhenUsed/>
    <w:rsid w:val="0072423D"/>
    <w:rPr>
      <w:color w:val="0000FF"/>
      <w:u w:val="single"/>
    </w:rPr>
  </w:style>
  <w:style w:type="character" w:customStyle="1" w:styleId="Ttulo3Car">
    <w:name w:val="Título 3 Car"/>
    <w:basedOn w:val="Fuentedeprrafopredeter"/>
    <w:link w:val="Ttulo3"/>
    <w:uiPriority w:val="9"/>
    <w:rsid w:val="00CF4E9A"/>
    <w:rPr>
      <w:b/>
      <w:color w:val="00408E"/>
      <w:szCs w:val="22"/>
      <w:lang w:val="es-MX"/>
    </w:rPr>
  </w:style>
  <w:style w:type="character" w:customStyle="1" w:styleId="Ttulo4Car">
    <w:name w:val="Título 4 Car"/>
    <w:basedOn w:val="Fuentedeprrafopredeter"/>
    <w:link w:val="Ttulo4"/>
    <w:uiPriority w:val="9"/>
    <w:rsid w:val="004E22C7"/>
    <w:rPr>
      <w:color w:val="00408E"/>
      <w:szCs w:val="22"/>
      <w:lang w:val="es-MX"/>
    </w:rPr>
  </w:style>
  <w:style w:type="paragraph" w:styleId="Listaconvietas">
    <w:name w:val="List Bullet"/>
    <w:basedOn w:val="Listaconvietas5"/>
    <w:uiPriority w:val="99"/>
    <w:unhideWhenUsed/>
    <w:qFormat/>
    <w:rsid w:val="004837E2"/>
    <w:pPr>
      <w:tabs>
        <w:tab w:val="num" w:pos="644"/>
      </w:tabs>
      <w:ind w:left="641" w:hanging="357"/>
      <w:contextualSpacing w:val="0"/>
    </w:pPr>
  </w:style>
  <w:style w:type="paragraph" w:styleId="Listaconvietas2">
    <w:name w:val="List Bullet 2"/>
    <w:basedOn w:val="Listaconvietas"/>
    <w:uiPriority w:val="99"/>
    <w:unhideWhenUsed/>
    <w:rsid w:val="008C4F95"/>
    <w:pPr>
      <w:numPr>
        <w:numId w:val="4"/>
      </w:numPr>
      <w:tabs>
        <w:tab w:val="num" w:pos="1492"/>
      </w:tabs>
      <w:ind w:left="993"/>
    </w:pPr>
  </w:style>
  <w:style w:type="paragraph" w:styleId="Continuarlista">
    <w:name w:val="List Continue"/>
    <w:basedOn w:val="Normal"/>
    <w:uiPriority w:val="99"/>
    <w:unhideWhenUsed/>
    <w:rsid w:val="003961C1"/>
    <w:pPr>
      <w:spacing w:line="276" w:lineRule="auto"/>
      <w:ind w:left="283"/>
      <w:contextualSpacing/>
      <w:jc w:val="both"/>
    </w:pPr>
    <w:rPr>
      <w:rFonts w:eastAsia="Calibri"/>
      <w:sz w:val="20"/>
      <w:szCs w:val="22"/>
    </w:rPr>
  </w:style>
  <w:style w:type="paragraph" w:styleId="Listaconvietas3">
    <w:name w:val="List Bullet 3"/>
    <w:basedOn w:val="Normal"/>
    <w:uiPriority w:val="99"/>
    <w:unhideWhenUsed/>
    <w:rsid w:val="003961C1"/>
    <w:pPr>
      <w:numPr>
        <w:numId w:val="1"/>
      </w:numPr>
      <w:spacing w:after="200" w:line="276" w:lineRule="auto"/>
      <w:contextualSpacing/>
      <w:jc w:val="both"/>
    </w:pPr>
    <w:rPr>
      <w:rFonts w:eastAsia="Calibri"/>
      <w:sz w:val="20"/>
      <w:szCs w:val="22"/>
    </w:rPr>
  </w:style>
  <w:style w:type="paragraph" w:styleId="Listaconvietas4">
    <w:name w:val="List Bullet 4"/>
    <w:basedOn w:val="Normal"/>
    <w:uiPriority w:val="99"/>
    <w:unhideWhenUsed/>
    <w:rsid w:val="003961C1"/>
    <w:pPr>
      <w:numPr>
        <w:numId w:val="2"/>
      </w:numPr>
      <w:spacing w:after="200" w:line="276" w:lineRule="auto"/>
      <w:contextualSpacing/>
      <w:jc w:val="both"/>
    </w:pPr>
    <w:rPr>
      <w:rFonts w:eastAsia="Calibri"/>
      <w:sz w:val="20"/>
      <w:szCs w:val="22"/>
    </w:rPr>
  </w:style>
  <w:style w:type="paragraph" w:styleId="Listaconvietas5">
    <w:name w:val="List Bullet 5"/>
    <w:basedOn w:val="Normal"/>
    <w:uiPriority w:val="99"/>
    <w:unhideWhenUsed/>
    <w:rsid w:val="003961C1"/>
    <w:pPr>
      <w:numPr>
        <w:numId w:val="3"/>
      </w:numPr>
      <w:spacing w:after="200" w:line="276" w:lineRule="auto"/>
      <w:contextualSpacing/>
      <w:jc w:val="both"/>
    </w:pPr>
    <w:rPr>
      <w:rFonts w:eastAsia="Calibri"/>
      <w:sz w:val="20"/>
      <w:szCs w:val="22"/>
    </w:rPr>
  </w:style>
  <w:style w:type="paragraph" w:styleId="Prrafodelista">
    <w:name w:val="List Paragraph"/>
    <w:basedOn w:val="Normal"/>
    <w:uiPriority w:val="34"/>
    <w:qFormat/>
    <w:rsid w:val="00C26F6D"/>
    <w:pPr>
      <w:spacing w:after="200" w:line="276" w:lineRule="auto"/>
      <w:ind w:left="720"/>
      <w:jc w:val="both"/>
    </w:pPr>
    <w:rPr>
      <w:rFonts w:eastAsia="Calibri"/>
      <w:sz w:val="20"/>
      <w:szCs w:val="22"/>
    </w:rPr>
  </w:style>
  <w:style w:type="paragraph" w:styleId="Encabezadodelista">
    <w:name w:val="toa heading"/>
    <w:basedOn w:val="Ttulo1"/>
    <w:next w:val="Normal"/>
    <w:uiPriority w:val="99"/>
    <w:unhideWhenUsed/>
    <w:rsid w:val="000C5167"/>
    <w:pPr>
      <w:spacing w:after="400"/>
    </w:pPr>
  </w:style>
  <w:style w:type="table" w:styleId="Tablaconcuadrcula">
    <w:name w:val="Table Grid"/>
    <w:basedOn w:val="Tablanormal"/>
    <w:uiPriority w:val="59"/>
    <w:rsid w:val="003643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anormal"/>
    <w:uiPriority w:val="60"/>
    <w:rsid w:val="00017D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anormal"/>
    <w:uiPriority w:val="60"/>
    <w:rsid w:val="00017D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3">
    <w:name w:val="Light Shading Accent 3"/>
    <w:basedOn w:val="Tablanormal"/>
    <w:uiPriority w:val="60"/>
    <w:rsid w:val="00017D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5">
    <w:name w:val="Light Shading Accent 5"/>
    <w:basedOn w:val="Tablanormal"/>
    <w:uiPriority w:val="60"/>
    <w:rsid w:val="00017D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anormal"/>
    <w:uiPriority w:val="61"/>
    <w:rsid w:val="00017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Normal"/>
    <w:rsid w:val="003401B4"/>
    <w:pPr>
      <w:spacing w:before="60" w:after="60"/>
      <w:ind w:left="28" w:right="28"/>
    </w:pPr>
    <w:rPr>
      <w:sz w:val="18"/>
    </w:rPr>
  </w:style>
  <w:style w:type="paragraph" w:styleId="Sinespaciado">
    <w:name w:val="No Spacing"/>
    <w:uiPriority w:val="1"/>
    <w:qFormat/>
    <w:rsid w:val="00C2562C"/>
    <w:pPr>
      <w:jc w:val="both"/>
    </w:pPr>
    <w:rPr>
      <w:szCs w:val="22"/>
      <w:lang w:eastAsia="en-US"/>
    </w:rPr>
  </w:style>
  <w:style w:type="paragraph" w:styleId="Textonotapie">
    <w:name w:val="footnote text"/>
    <w:basedOn w:val="Normal"/>
    <w:link w:val="TextonotapieCar"/>
    <w:uiPriority w:val="99"/>
    <w:unhideWhenUsed/>
    <w:rsid w:val="00406CEE"/>
  </w:style>
  <w:style w:type="character" w:customStyle="1" w:styleId="TextonotapieCar">
    <w:name w:val="Texto nota pie Car"/>
    <w:basedOn w:val="Fuentedeprrafopredeter"/>
    <w:link w:val="Textonotapie"/>
    <w:uiPriority w:val="99"/>
    <w:rsid w:val="00406CEE"/>
    <w:rPr>
      <w:rFonts w:ascii="Calibri" w:eastAsia="Times New Roman" w:hAnsi="Calibri" w:cs="Times New Roman"/>
      <w:sz w:val="24"/>
      <w:szCs w:val="24"/>
    </w:rPr>
  </w:style>
  <w:style w:type="character" w:styleId="Refdenotaalpie">
    <w:name w:val="footnote reference"/>
    <w:basedOn w:val="Fuentedeprrafopredeter"/>
    <w:uiPriority w:val="99"/>
    <w:unhideWhenUsed/>
    <w:rsid w:val="00406CEE"/>
    <w:rPr>
      <w:vertAlign w:val="superscript"/>
    </w:rPr>
  </w:style>
  <w:style w:type="paragraph" w:styleId="Textodeglobo">
    <w:name w:val="Balloon Text"/>
    <w:basedOn w:val="Normal"/>
    <w:link w:val="TextodegloboCar"/>
    <w:uiPriority w:val="99"/>
    <w:semiHidden/>
    <w:unhideWhenUsed/>
    <w:rsid w:val="00406CEE"/>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CEE"/>
    <w:rPr>
      <w:rFonts w:ascii="Tahoma" w:eastAsia="Times New Roman" w:hAnsi="Tahoma" w:cs="Tahoma"/>
      <w:sz w:val="16"/>
      <w:szCs w:val="16"/>
    </w:rPr>
  </w:style>
  <w:style w:type="character" w:customStyle="1" w:styleId="apple-converted-space">
    <w:name w:val="apple-converted-space"/>
    <w:basedOn w:val="Fuentedeprrafopredeter"/>
    <w:rsid w:val="00EF5A3C"/>
  </w:style>
  <w:style w:type="character" w:styleId="Textoennegrita">
    <w:name w:val="Strong"/>
    <w:basedOn w:val="Fuentedeprrafopredeter"/>
    <w:uiPriority w:val="22"/>
    <w:qFormat/>
    <w:rsid w:val="00EF5A3C"/>
    <w:rPr>
      <w:b/>
      <w:bCs/>
    </w:rPr>
  </w:style>
  <w:style w:type="character" w:styleId="Hipervnculovisitado">
    <w:name w:val="FollowedHyperlink"/>
    <w:basedOn w:val="Fuentedeprrafopredeter"/>
    <w:uiPriority w:val="99"/>
    <w:semiHidden/>
    <w:unhideWhenUsed/>
    <w:rsid w:val="00EF5A3C"/>
    <w:rPr>
      <w:color w:val="954F72" w:themeColor="followedHyperlink"/>
      <w:u w:val="single"/>
    </w:rPr>
  </w:style>
  <w:style w:type="paragraph" w:styleId="HTMLconformatoprevio">
    <w:name w:val="HTML Preformatted"/>
    <w:basedOn w:val="Normal"/>
    <w:link w:val="HTMLconformatoprevioCar"/>
    <w:uiPriority w:val="99"/>
    <w:semiHidden/>
    <w:unhideWhenUsed/>
    <w:rsid w:val="0076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rPr>
  </w:style>
  <w:style w:type="character" w:customStyle="1" w:styleId="HTMLconformatoprevioCar">
    <w:name w:val="HTML con formato previo Car"/>
    <w:basedOn w:val="Fuentedeprrafopredeter"/>
    <w:link w:val="HTMLconformatoprevio"/>
    <w:uiPriority w:val="99"/>
    <w:semiHidden/>
    <w:rsid w:val="00767678"/>
    <w:rPr>
      <w:rFonts w:ascii="Courier" w:hAnsi="Courier" w:cs="Courier"/>
      <w:lang w:eastAsia="en-US"/>
    </w:rPr>
  </w:style>
  <w:style w:type="character" w:customStyle="1" w:styleId="UnresolvedMention">
    <w:name w:val="Unresolved Mention"/>
    <w:basedOn w:val="Fuentedeprrafopredeter"/>
    <w:uiPriority w:val="99"/>
    <w:semiHidden/>
    <w:unhideWhenUsed/>
    <w:rsid w:val="00C14EF2"/>
    <w:rPr>
      <w:color w:val="808080"/>
      <w:shd w:val="clear" w:color="auto" w:fill="E6E6E6"/>
    </w:rPr>
  </w:style>
  <w:style w:type="paragraph" w:customStyle="1" w:styleId="p1">
    <w:name w:val="p1"/>
    <w:basedOn w:val="Normal"/>
    <w:rsid w:val="002D63C1"/>
    <w:rPr>
      <w:rFonts w:ascii="Calibri" w:hAnsi="Calibri" w:cs="Times New Roman"/>
      <w:sz w:val="17"/>
      <w:szCs w:val="17"/>
    </w:rPr>
  </w:style>
  <w:style w:type="paragraph" w:customStyle="1" w:styleId="LightList-Accent51">
    <w:name w:val="Light List - Accent 51"/>
    <w:basedOn w:val="Normal"/>
    <w:uiPriority w:val="34"/>
    <w:qFormat/>
    <w:rsid w:val="002D63C1"/>
    <w:pPr>
      <w:ind w:left="720"/>
      <w:contextualSpacing/>
    </w:pPr>
    <w:rPr>
      <w:rFonts w:ascii="Cambria" w:eastAsia="Cambria" w:hAnsi="Cambria" w:cs="Times New Roman"/>
    </w:rPr>
  </w:style>
  <w:style w:type="paragraph" w:styleId="NormalWeb">
    <w:name w:val="Normal (Web)"/>
    <w:basedOn w:val="Normal"/>
    <w:uiPriority w:val="99"/>
    <w:unhideWhenUsed/>
    <w:rsid w:val="002D63C1"/>
    <w:pPr>
      <w:spacing w:before="100" w:beforeAutospacing="1" w:after="100" w:afterAutospacing="1"/>
    </w:pPr>
    <w:rPr>
      <w:rFonts w:ascii="Times New Roman" w:eastAsiaTheme="minorHAnsi" w:hAnsi="Times New Roman"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266965">
      <w:bodyDiv w:val="1"/>
      <w:marLeft w:val="0"/>
      <w:marRight w:val="0"/>
      <w:marTop w:val="0"/>
      <w:marBottom w:val="0"/>
      <w:divBdr>
        <w:top w:val="none" w:sz="0" w:space="0" w:color="auto"/>
        <w:left w:val="none" w:sz="0" w:space="0" w:color="auto"/>
        <w:bottom w:val="none" w:sz="0" w:space="0" w:color="auto"/>
        <w:right w:val="none" w:sz="0" w:space="0" w:color="auto"/>
      </w:divBdr>
    </w:div>
    <w:div w:id="66270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m.icann.org/pipermail/counci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nso.icann.org/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nso.icann.org/en/abou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gnso.icann.org/en/index.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icann.org/resources/pages/gtld-registration-data-specs-en" TargetMode="External"/><Relationship Id="rId14" Type="http://schemas.openxmlformats.org/officeDocument/2006/relationships/hyperlink" Target="https://mm.icann.org/pipermail/council/attachments/20180511/2435d825/GNSOPDP3.0-8May2018-00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1DDCD-2BAD-492C-8664-093F42B6A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1738</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11277</CharactersWithSpaces>
  <SharedDoc>false</SharedDoc>
  <HLinks>
    <vt:vector size="12" baseType="variant">
      <vt:variant>
        <vt:i4>1048631</vt:i4>
      </vt:variant>
      <vt:variant>
        <vt:i4>8</vt:i4>
      </vt:variant>
      <vt:variant>
        <vt:i4>0</vt:i4>
      </vt:variant>
      <vt:variant>
        <vt:i4>5</vt:i4>
      </vt:variant>
      <vt:variant>
        <vt:lpwstr/>
      </vt:variant>
      <vt:variant>
        <vt:lpwstr>_Toc231267216</vt:lpwstr>
      </vt:variant>
      <vt:variant>
        <vt:i4>1048631</vt:i4>
      </vt:variant>
      <vt:variant>
        <vt:i4>2</vt:i4>
      </vt:variant>
      <vt:variant>
        <vt:i4>0</vt:i4>
      </vt:variant>
      <vt:variant>
        <vt:i4>5</vt:i4>
      </vt:variant>
      <vt:variant>
        <vt:lpwstr/>
      </vt:variant>
      <vt:variant>
        <vt:lpwstr>_Toc231267215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Client's Name and/or Logo</dc:subject>
  <dc:creator>Thomas Dale</dc:creator>
  <cp:lastModifiedBy>Usuario</cp:lastModifiedBy>
  <cp:revision>14</cp:revision>
  <cp:lastPrinted>2013-11-27T05:14:00Z</cp:lastPrinted>
  <dcterms:created xsi:type="dcterms:W3CDTF">2018-05-29T06:00:00Z</dcterms:created>
  <dcterms:modified xsi:type="dcterms:W3CDTF">2018-06-27T22:10:00Z</dcterms:modified>
</cp:coreProperties>
</file>